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E1B5" w14:textId="77777777" w:rsidR="00B51CB9" w:rsidRDefault="00B51CB9" w:rsidP="005C3F5D"/>
    <w:p w14:paraId="15165BF5" w14:textId="078E36A1" w:rsidR="00B51CB9" w:rsidRPr="00B66A8F" w:rsidRDefault="00B51CB9" w:rsidP="00B51CB9">
      <w:pPr>
        <w:pStyle w:val="MAINTITLE"/>
        <w:rPr>
          <w:sz w:val="26"/>
          <w:szCs w:val="26"/>
        </w:rPr>
      </w:pPr>
      <w:r w:rsidRPr="00B66A8F">
        <w:rPr>
          <w:rFonts w:ascii="Arial Black" w:hAnsi="Arial Black"/>
          <w:color w:val="0071BC"/>
          <w:sz w:val="26"/>
          <w:szCs w:val="26"/>
        </w:rPr>
        <w:t>TEMPLATE:</w:t>
      </w:r>
      <w:r w:rsidRPr="00B66A8F">
        <w:rPr>
          <w:color w:val="51B848"/>
          <w:sz w:val="26"/>
          <w:szCs w:val="26"/>
        </w:rPr>
        <w:t xml:space="preserve"> </w:t>
      </w:r>
      <w:r w:rsidR="00D150D4">
        <w:rPr>
          <w:rFonts w:ascii="Arial Black" w:eastAsiaTheme="minorHAnsi" w:hAnsi="Arial Black" w:cstheme="minorBidi"/>
          <w:b w:val="0"/>
          <w:caps/>
          <w:noProof w:val="0"/>
          <w:color w:val="3F3F3F" w:themeColor="text2"/>
          <w:sz w:val="26"/>
          <w:szCs w:val="26"/>
        </w:rPr>
        <w:t>POLICY</w:t>
      </w:r>
      <w:r w:rsidR="00D150D4" w:rsidRPr="00D150D4">
        <w:t xml:space="preserve"> </w:t>
      </w:r>
      <w:r w:rsidR="00D150D4" w:rsidRPr="00D150D4">
        <w:rPr>
          <w:rFonts w:ascii="Arial Black" w:eastAsiaTheme="minorHAnsi" w:hAnsi="Arial Black" w:cstheme="minorBidi"/>
          <w:b w:val="0"/>
          <w:caps/>
          <w:noProof w:val="0"/>
          <w:color w:val="3F3F3F" w:themeColor="text2"/>
          <w:sz w:val="26"/>
          <w:szCs w:val="26"/>
        </w:rPr>
        <w:t>FOR SAMPLE RETENTION AND FURTHER ANALYSIS STRATEGY</w:t>
      </w:r>
    </w:p>
    <w:p w14:paraId="50DBCED8" w14:textId="75D26E97" w:rsidR="00B51CB9" w:rsidRDefault="00B51CB9" w:rsidP="00B51CB9">
      <w:pPr>
        <w:pStyle w:val="SecondaryTitle"/>
        <w:spacing w:line="276" w:lineRule="auto"/>
        <w:jc w:val="left"/>
        <w:rPr>
          <w:sz w:val="20"/>
          <w:szCs w:val="20"/>
        </w:rPr>
      </w:pPr>
    </w:p>
    <w:p w14:paraId="24E98839" w14:textId="0CDAE7A9" w:rsidR="00D150D4" w:rsidRPr="00D150D4" w:rsidRDefault="00D150D4" w:rsidP="00D150D4">
      <w:pPr>
        <w:pStyle w:val="SecondaryTitle"/>
        <w:spacing w:line="276" w:lineRule="auto"/>
        <w:ind w:left="450"/>
        <w:jc w:val="left"/>
        <w:rPr>
          <w:sz w:val="26"/>
          <w:szCs w:val="26"/>
        </w:rPr>
      </w:pPr>
      <w:r w:rsidRPr="00D150D4">
        <w:rPr>
          <w:sz w:val="26"/>
          <w:szCs w:val="26"/>
          <w:highlight w:val="darkGray"/>
        </w:rPr>
        <w:t>[INSERT ADO NAME]</w:t>
      </w:r>
    </w:p>
    <w:p w14:paraId="05A75F33" w14:textId="77777777" w:rsidR="00D150D4" w:rsidRDefault="00D150D4" w:rsidP="00B51CB9">
      <w:pPr>
        <w:pStyle w:val="REGULARBULLET"/>
        <w:numPr>
          <w:ilvl w:val="0"/>
          <w:numId w:val="0"/>
        </w:numPr>
        <w:spacing w:line="276" w:lineRule="auto"/>
        <w:ind w:left="720" w:hanging="270"/>
        <w:rPr>
          <w:b/>
          <w:color w:val="0071BC"/>
        </w:rPr>
      </w:pPr>
    </w:p>
    <w:p w14:paraId="3BDBCC62" w14:textId="2E6DE086" w:rsidR="00B51CB9" w:rsidRDefault="00D150D4" w:rsidP="00B51CB9">
      <w:pPr>
        <w:pStyle w:val="REGULARBULLET"/>
        <w:numPr>
          <w:ilvl w:val="0"/>
          <w:numId w:val="0"/>
        </w:numPr>
        <w:spacing w:line="276" w:lineRule="auto"/>
        <w:ind w:left="720" w:hanging="270"/>
      </w:pPr>
      <w:r>
        <w:rPr>
          <w:b/>
          <w:color w:val="0071BC"/>
        </w:rPr>
        <w:t>Introduction and General Principles</w:t>
      </w:r>
    </w:p>
    <w:p w14:paraId="029689BE" w14:textId="43AEFE4E" w:rsidR="00D150D4" w:rsidRDefault="00D150D4" w:rsidP="00D150D4">
      <w:pPr>
        <w:spacing w:before="120" w:line="276" w:lineRule="auto"/>
        <w:ind w:left="446"/>
        <w:jc w:val="both"/>
        <w:rPr>
          <w:rFonts w:eastAsia="Calibri" w:cs="Arial"/>
          <w:noProof/>
          <w:sz w:val="20"/>
          <w:szCs w:val="20"/>
        </w:rPr>
      </w:pPr>
      <w:r w:rsidRPr="00D150D4">
        <w:rPr>
          <w:rFonts w:eastAsia="Calibri" w:cs="Arial"/>
          <w:noProof/>
          <w:sz w:val="20"/>
          <w:szCs w:val="20"/>
        </w:rPr>
        <w:t xml:space="preserve">In accordance with International Standard for Testing and Investigations (ISTI) Article 4.7.3, </w:t>
      </w:r>
      <w:r w:rsidRPr="00D150D4">
        <w:rPr>
          <w:rFonts w:eastAsia="Calibri" w:cs="Arial"/>
          <w:b/>
          <w:bCs/>
          <w:noProof/>
          <w:sz w:val="20"/>
          <w:szCs w:val="20"/>
          <w:highlight w:val="darkGray"/>
        </w:rPr>
        <w:t>[ADO]</w:t>
      </w:r>
      <w:r w:rsidRPr="00D150D4">
        <w:rPr>
          <w:rFonts w:eastAsia="Calibri" w:cs="Arial"/>
          <w:noProof/>
          <w:sz w:val="20"/>
          <w:szCs w:val="20"/>
        </w:rPr>
        <w:t xml:space="preserve"> has developed a sample retention and further analysis strategy.</w:t>
      </w:r>
    </w:p>
    <w:p w14:paraId="2B5EC1A4" w14:textId="77777777" w:rsidR="00D150D4" w:rsidRPr="00D150D4" w:rsidRDefault="00D150D4" w:rsidP="00D150D4">
      <w:pPr>
        <w:spacing w:line="276" w:lineRule="auto"/>
        <w:ind w:left="450"/>
        <w:jc w:val="both"/>
        <w:rPr>
          <w:rFonts w:eastAsia="Calibri" w:cs="Arial"/>
          <w:noProof/>
          <w:sz w:val="20"/>
          <w:szCs w:val="20"/>
        </w:rPr>
      </w:pPr>
    </w:p>
    <w:p w14:paraId="642EF41F" w14:textId="25329EC9" w:rsidR="00D150D4" w:rsidRPr="00D150D4" w:rsidRDefault="00D150D4" w:rsidP="00D150D4">
      <w:pPr>
        <w:spacing w:line="276" w:lineRule="auto"/>
        <w:ind w:left="450"/>
        <w:jc w:val="both"/>
        <w:rPr>
          <w:rFonts w:eastAsia="Calibri" w:cs="Arial"/>
          <w:noProof/>
          <w:sz w:val="20"/>
          <w:szCs w:val="20"/>
        </w:rPr>
      </w:pPr>
      <w:r w:rsidRPr="00D150D4">
        <w:rPr>
          <w:rFonts w:eastAsia="Calibri" w:cs="Arial"/>
          <w:noProof/>
          <w:sz w:val="20"/>
          <w:szCs w:val="20"/>
        </w:rPr>
        <w:t>The objective of this policy is to protect the rights of clean athletes by ensuring that new information or intelligence</w:t>
      </w:r>
      <w:r w:rsidR="00B43623">
        <w:rPr>
          <w:rFonts w:eastAsia="Calibri" w:cs="Arial"/>
          <w:noProof/>
          <w:sz w:val="20"/>
          <w:szCs w:val="20"/>
        </w:rPr>
        <w:t xml:space="preserve"> received</w:t>
      </w:r>
      <w:r w:rsidRPr="00D150D4">
        <w:rPr>
          <w:rFonts w:eastAsia="Calibri" w:cs="Arial"/>
          <w:noProof/>
          <w:sz w:val="20"/>
          <w:szCs w:val="20"/>
        </w:rPr>
        <w:t xml:space="preserve">, </w:t>
      </w:r>
      <w:r w:rsidR="00B43623">
        <w:rPr>
          <w:rFonts w:eastAsia="Calibri" w:cs="Arial"/>
          <w:noProof/>
          <w:sz w:val="20"/>
          <w:szCs w:val="20"/>
        </w:rPr>
        <w:t>and</w:t>
      </w:r>
      <w:r w:rsidRPr="00D150D4">
        <w:rPr>
          <w:rFonts w:eastAsia="Calibri" w:cs="Arial"/>
          <w:noProof/>
          <w:sz w:val="20"/>
          <w:szCs w:val="20"/>
        </w:rPr>
        <w:t xml:space="preserve"> new or improved analytical methodologies introduced since the initial analysis are utilized</w:t>
      </w:r>
      <w:r w:rsidR="00B43623">
        <w:rPr>
          <w:rFonts w:eastAsia="Calibri" w:cs="Arial"/>
          <w:noProof/>
          <w:sz w:val="20"/>
          <w:szCs w:val="20"/>
        </w:rPr>
        <w:t xml:space="preserve"> on samples retained </w:t>
      </w:r>
      <w:r w:rsidR="00B43623" w:rsidRPr="00D150D4">
        <w:rPr>
          <w:rFonts w:eastAsia="Calibri" w:cs="Arial"/>
          <w:noProof/>
          <w:sz w:val="20"/>
          <w:szCs w:val="20"/>
        </w:rPr>
        <w:t xml:space="preserve">during the 10-year statute of limitations in the World Anti-Doping Code (Code) </w:t>
      </w:r>
      <w:r w:rsidR="00B43623">
        <w:rPr>
          <w:rFonts w:eastAsia="Calibri" w:cs="Arial"/>
          <w:noProof/>
          <w:sz w:val="20"/>
          <w:szCs w:val="20"/>
        </w:rPr>
        <w:t>The purpose  of this policy is to</w:t>
      </w:r>
      <w:r w:rsidRPr="00D150D4">
        <w:rPr>
          <w:rFonts w:eastAsia="Calibri" w:cs="Arial"/>
          <w:noProof/>
          <w:sz w:val="20"/>
          <w:szCs w:val="20"/>
        </w:rPr>
        <w:t xml:space="preserve">maximize detection </w:t>
      </w:r>
      <w:r w:rsidR="00B43623">
        <w:rPr>
          <w:rFonts w:eastAsia="Calibri" w:cs="Arial"/>
          <w:noProof/>
          <w:sz w:val="20"/>
          <w:szCs w:val="20"/>
        </w:rPr>
        <w:t xml:space="preserve">opportunities </w:t>
      </w:r>
      <w:r w:rsidRPr="00D150D4">
        <w:rPr>
          <w:rFonts w:eastAsia="Calibri" w:cs="Arial"/>
          <w:noProof/>
          <w:sz w:val="20"/>
          <w:szCs w:val="20"/>
        </w:rPr>
        <w:t>and achieve greater deterrence</w:t>
      </w:r>
      <w:r w:rsidR="00B43623">
        <w:rPr>
          <w:rFonts w:eastAsia="Calibri" w:cs="Arial"/>
          <w:noProof/>
          <w:sz w:val="20"/>
          <w:szCs w:val="20"/>
        </w:rPr>
        <w:t xml:space="preserve"> to those athletes who may consider doping</w:t>
      </w:r>
      <w:r w:rsidRPr="00D150D4">
        <w:rPr>
          <w:rFonts w:eastAsia="Calibri" w:cs="Arial"/>
          <w:noProof/>
          <w:sz w:val="20"/>
          <w:szCs w:val="20"/>
        </w:rPr>
        <w:t>.</w:t>
      </w:r>
    </w:p>
    <w:p w14:paraId="785828A5" w14:textId="77777777" w:rsidR="00D150D4" w:rsidRPr="00D150D4" w:rsidRDefault="00D150D4" w:rsidP="00D150D4">
      <w:pPr>
        <w:spacing w:line="276" w:lineRule="auto"/>
        <w:ind w:left="450"/>
        <w:jc w:val="both"/>
        <w:rPr>
          <w:rFonts w:eastAsia="Calibri" w:cs="Arial"/>
          <w:noProof/>
          <w:sz w:val="20"/>
          <w:szCs w:val="20"/>
        </w:rPr>
      </w:pPr>
    </w:p>
    <w:p w14:paraId="691C3B8C" w14:textId="398FFA94" w:rsidR="00D150D4" w:rsidRPr="00D150D4" w:rsidRDefault="00D150D4" w:rsidP="00D150D4">
      <w:pPr>
        <w:spacing w:line="276" w:lineRule="auto"/>
        <w:ind w:left="450"/>
        <w:jc w:val="both"/>
        <w:rPr>
          <w:rFonts w:eastAsia="Calibri" w:cs="Arial"/>
          <w:noProof/>
          <w:sz w:val="20"/>
          <w:szCs w:val="20"/>
        </w:rPr>
      </w:pPr>
      <w:r w:rsidRPr="00D150D4">
        <w:rPr>
          <w:rFonts w:eastAsia="Calibri" w:cs="Arial"/>
          <w:noProof/>
          <w:sz w:val="20"/>
          <w:szCs w:val="20"/>
        </w:rPr>
        <w:t xml:space="preserve">All samples collected by </w:t>
      </w:r>
      <w:r w:rsidRPr="00D150D4">
        <w:rPr>
          <w:rFonts w:eastAsia="Calibri" w:cs="Arial"/>
          <w:b/>
          <w:bCs/>
          <w:noProof/>
          <w:sz w:val="20"/>
          <w:szCs w:val="20"/>
          <w:highlight w:val="darkGray"/>
        </w:rPr>
        <w:t>[ADO]</w:t>
      </w:r>
      <w:r w:rsidRPr="00D150D4">
        <w:rPr>
          <w:rFonts w:eastAsia="Calibri" w:cs="Arial"/>
          <w:noProof/>
          <w:sz w:val="20"/>
          <w:szCs w:val="20"/>
        </w:rPr>
        <w:t xml:space="preserve"> may be subject to retention and further analysis at the direction of </w:t>
      </w:r>
      <w:r w:rsidRPr="00D150D4">
        <w:rPr>
          <w:rFonts w:eastAsia="Calibri" w:cs="Arial"/>
          <w:b/>
          <w:bCs/>
          <w:noProof/>
          <w:sz w:val="20"/>
          <w:szCs w:val="20"/>
          <w:highlight w:val="darkGray"/>
        </w:rPr>
        <w:t>[ADO]</w:t>
      </w:r>
      <w:r w:rsidRPr="00D150D4">
        <w:rPr>
          <w:rFonts w:eastAsia="Calibri" w:cs="Arial"/>
          <w:noProof/>
          <w:sz w:val="20"/>
          <w:szCs w:val="20"/>
        </w:rPr>
        <w:t xml:space="preserve"> or the World Anti-Doping Agency (WADA), in accordance with the Code and/or International Standards (IS). In addition, as set out in Code Article 6.6, </w:t>
      </w:r>
      <w:r w:rsidRPr="00D150D4">
        <w:rPr>
          <w:rFonts w:eastAsia="Calibri" w:cs="Arial"/>
          <w:b/>
          <w:bCs/>
          <w:noProof/>
          <w:sz w:val="20"/>
          <w:szCs w:val="20"/>
          <w:highlight w:val="darkGray"/>
        </w:rPr>
        <w:t>[ADO]</w:t>
      </w:r>
      <w:r w:rsidRPr="00D150D4">
        <w:rPr>
          <w:rFonts w:eastAsia="Calibri" w:cs="Arial"/>
          <w:noProof/>
          <w:sz w:val="20"/>
          <w:szCs w:val="20"/>
        </w:rPr>
        <w:t xml:space="preserve"> may request permission from any other Anti-Doping Organization (ADO) with authority to test an athlete, to conduct analysis of a sample from that athlete stored by such ADO. </w:t>
      </w:r>
    </w:p>
    <w:p w14:paraId="7B256291" w14:textId="77777777" w:rsidR="00D150D4" w:rsidRPr="00D150D4" w:rsidRDefault="00D150D4" w:rsidP="00D150D4">
      <w:pPr>
        <w:spacing w:line="276" w:lineRule="auto"/>
        <w:ind w:left="450"/>
        <w:jc w:val="both"/>
        <w:rPr>
          <w:rFonts w:eastAsia="Calibri" w:cs="Arial"/>
          <w:noProof/>
          <w:sz w:val="20"/>
          <w:szCs w:val="20"/>
        </w:rPr>
      </w:pPr>
    </w:p>
    <w:p w14:paraId="6443466A" w14:textId="77777777" w:rsidR="00D150D4" w:rsidRPr="00D150D4" w:rsidRDefault="00D150D4" w:rsidP="00D150D4">
      <w:pPr>
        <w:spacing w:line="276" w:lineRule="auto"/>
        <w:ind w:left="450"/>
        <w:jc w:val="both"/>
        <w:rPr>
          <w:rFonts w:eastAsia="Calibri" w:cs="Arial"/>
          <w:noProof/>
          <w:sz w:val="20"/>
          <w:szCs w:val="20"/>
        </w:rPr>
      </w:pPr>
      <w:r w:rsidRPr="00D150D4">
        <w:rPr>
          <w:rFonts w:eastAsia="Calibri" w:cs="Arial"/>
          <w:noProof/>
          <w:sz w:val="20"/>
          <w:szCs w:val="20"/>
        </w:rPr>
        <w:t>This policy shall be implemented for the purpose of analysis of samples as set out in Code Article 6.2. Furthermore, long-term storage and further analysis conditions shall comply with requirements set forth in the International Standard for Laboratories (ISL) Articles 5.3.11.3 and 5.3.6.3.</w:t>
      </w:r>
    </w:p>
    <w:p w14:paraId="03F14686" w14:textId="77777777" w:rsidR="00D150D4" w:rsidRPr="00D150D4" w:rsidRDefault="00D150D4" w:rsidP="00D150D4">
      <w:pPr>
        <w:spacing w:line="276" w:lineRule="auto"/>
        <w:ind w:left="450"/>
        <w:jc w:val="both"/>
        <w:rPr>
          <w:rFonts w:eastAsia="Calibri" w:cs="Arial"/>
          <w:noProof/>
          <w:sz w:val="20"/>
          <w:szCs w:val="20"/>
        </w:rPr>
      </w:pPr>
    </w:p>
    <w:p w14:paraId="5A2B3960" w14:textId="4D09F19B" w:rsidR="00D150D4" w:rsidRPr="00D150D4" w:rsidRDefault="00D150D4" w:rsidP="00D150D4">
      <w:pPr>
        <w:spacing w:line="276" w:lineRule="auto"/>
        <w:ind w:left="450"/>
        <w:jc w:val="both"/>
        <w:rPr>
          <w:rFonts w:eastAsia="Calibri" w:cs="Arial"/>
          <w:noProof/>
          <w:sz w:val="20"/>
          <w:szCs w:val="20"/>
        </w:rPr>
      </w:pPr>
      <w:r w:rsidRPr="00D150D4">
        <w:rPr>
          <w:rFonts w:eastAsia="Calibri" w:cs="Arial"/>
          <w:b/>
          <w:bCs/>
          <w:noProof/>
          <w:sz w:val="20"/>
          <w:szCs w:val="20"/>
          <w:highlight w:val="darkGray"/>
        </w:rPr>
        <w:t>[ADO]</w:t>
      </w:r>
      <w:r w:rsidRPr="00D150D4">
        <w:rPr>
          <w:rFonts w:eastAsia="Calibri" w:cs="Arial"/>
          <w:noProof/>
          <w:sz w:val="20"/>
          <w:szCs w:val="20"/>
        </w:rPr>
        <w:t xml:space="preserve"> </w:t>
      </w:r>
      <w:r w:rsidR="00087B4F">
        <w:rPr>
          <w:rFonts w:eastAsia="Calibri" w:cs="Arial"/>
          <w:noProof/>
          <w:sz w:val="20"/>
          <w:szCs w:val="20"/>
        </w:rPr>
        <w:t>has</w:t>
      </w:r>
      <w:r w:rsidR="00087B4F" w:rsidRPr="00D150D4">
        <w:rPr>
          <w:rFonts w:eastAsia="Calibri" w:cs="Arial"/>
          <w:noProof/>
          <w:sz w:val="20"/>
          <w:szCs w:val="20"/>
        </w:rPr>
        <w:t xml:space="preserve"> </w:t>
      </w:r>
      <w:r w:rsidR="00087B4F">
        <w:rPr>
          <w:rFonts w:eastAsia="Calibri" w:cs="Arial"/>
          <w:noProof/>
          <w:sz w:val="20"/>
          <w:szCs w:val="20"/>
        </w:rPr>
        <w:t>identified</w:t>
      </w:r>
      <w:r w:rsidR="00087B4F" w:rsidRPr="00D150D4">
        <w:rPr>
          <w:rFonts w:eastAsia="Calibri" w:cs="Arial"/>
          <w:noProof/>
          <w:sz w:val="20"/>
          <w:szCs w:val="20"/>
        </w:rPr>
        <w:t xml:space="preserve"> </w:t>
      </w:r>
      <w:r w:rsidRPr="00D150D4">
        <w:rPr>
          <w:rFonts w:eastAsia="Calibri" w:cs="Arial"/>
          <w:noProof/>
          <w:sz w:val="20"/>
          <w:szCs w:val="20"/>
        </w:rPr>
        <w:t xml:space="preserve">a specific amount dedicated to the implementation of this policy within its yearly anti-doping budget, and will advertize its sample retention plans in general terms in order to promote a message to ahletes that doping may be detected long after the initial collection and analysis. </w:t>
      </w:r>
    </w:p>
    <w:p w14:paraId="474508A4" w14:textId="77777777" w:rsidR="00D150D4" w:rsidRPr="00D150D4" w:rsidRDefault="00D150D4" w:rsidP="00D150D4">
      <w:pPr>
        <w:spacing w:line="276" w:lineRule="auto"/>
        <w:ind w:left="450"/>
        <w:jc w:val="both"/>
        <w:rPr>
          <w:rFonts w:eastAsia="Calibri" w:cs="Arial"/>
          <w:noProof/>
          <w:sz w:val="20"/>
          <w:szCs w:val="20"/>
        </w:rPr>
      </w:pPr>
    </w:p>
    <w:p w14:paraId="2CAB61D3" w14:textId="5BAD047C" w:rsidR="00B66A8F" w:rsidRDefault="00D150D4" w:rsidP="00D150D4">
      <w:pPr>
        <w:spacing w:line="276" w:lineRule="auto"/>
        <w:ind w:left="450"/>
        <w:jc w:val="both"/>
        <w:rPr>
          <w:rFonts w:eastAsia="Calibri" w:cs="Arial"/>
          <w:noProof/>
          <w:sz w:val="20"/>
          <w:szCs w:val="20"/>
        </w:rPr>
      </w:pPr>
      <w:r w:rsidRPr="00D150D4">
        <w:rPr>
          <w:rFonts w:eastAsia="Calibri" w:cs="Arial"/>
          <w:b/>
          <w:bCs/>
          <w:noProof/>
          <w:sz w:val="20"/>
          <w:szCs w:val="20"/>
          <w:highlight w:val="darkGray"/>
        </w:rPr>
        <w:t>[ADO]</w:t>
      </w:r>
      <w:r w:rsidRPr="00D150D4">
        <w:rPr>
          <w:rFonts w:eastAsia="Calibri" w:cs="Arial"/>
          <w:noProof/>
          <w:sz w:val="20"/>
          <w:szCs w:val="20"/>
        </w:rPr>
        <w:t>’s [Insert position and/or title] is responsible for the implementation and follow-up of this policy and subsequent procedures.</w:t>
      </w:r>
    </w:p>
    <w:p w14:paraId="1791E5F6" w14:textId="532FCAD5" w:rsidR="00D150D4" w:rsidRDefault="00D150D4" w:rsidP="00D150D4">
      <w:pPr>
        <w:spacing w:line="276" w:lineRule="auto"/>
        <w:ind w:left="450"/>
        <w:jc w:val="both"/>
        <w:rPr>
          <w:rFonts w:eastAsia="Calibri" w:cs="Arial"/>
          <w:sz w:val="20"/>
          <w:szCs w:val="20"/>
        </w:rPr>
      </w:pPr>
    </w:p>
    <w:p w14:paraId="6B853D9F" w14:textId="32D84E10" w:rsidR="00D150D4" w:rsidRPr="00D150D4" w:rsidRDefault="00D150D4" w:rsidP="00D150D4">
      <w:pPr>
        <w:spacing w:line="276" w:lineRule="auto"/>
        <w:ind w:left="450"/>
        <w:jc w:val="both"/>
        <w:rPr>
          <w:rFonts w:eastAsia="Calibri" w:cs="Arial"/>
          <w:b/>
          <w:noProof/>
          <w:color w:val="0071BC"/>
          <w:sz w:val="24"/>
          <w:szCs w:val="24"/>
        </w:rPr>
      </w:pPr>
      <w:r w:rsidRPr="00D150D4">
        <w:rPr>
          <w:rFonts w:eastAsia="Calibri" w:cs="Arial"/>
          <w:b/>
          <w:noProof/>
          <w:color w:val="0071BC"/>
          <w:sz w:val="24"/>
          <w:szCs w:val="24"/>
        </w:rPr>
        <w:t>Sample Retention Strategy</w:t>
      </w:r>
    </w:p>
    <w:p w14:paraId="0F0FEE4F" w14:textId="77777777" w:rsidR="00D150D4" w:rsidRPr="00D150D4" w:rsidRDefault="00D150D4" w:rsidP="00D150D4">
      <w:pPr>
        <w:spacing w:before="120" w:line="276" w:lineRule="auto"/>
        <w:ind w:left="446"/>
        <w:jc w:val="both"/>
        <w:rPr>
          <w:rFonts w:eastAsia="Calibri" w:cs="Arial"/>
          <w:noProof/>
          <w:sz w:val="20"/>
          <w:szCs w:val="20"/>
        </w:rPr>
      </w:pPr>
      <w:r w:rsidRPr="00D150D4">
        <w:rPr>
          <w:rFonts w:eastAsia="Calibri" w:cs="Arial"/>
          <w:noProof/>
          <w:sz w:val="20"/>
          <w:szCs w:val="20"/>
        </w:rPr>
        <w:t>A minimum of [Insert number] samples per year shall be selected for retention.</w:t>
      </w:r>
    </w:p>
    <w:p w14:paraId="713605A4" w14:textId="77777777" w:rsidR="00D150D4" w:rsidRPr="00D150D4" w:rsidRDefault="00D150D4" w:rsidP="00D150D4">
      <w:pPr>
        <w:spacing w:line="276" w:lineRule="auto"/>
        <w:ind w:left="450"/>
        <w:jc w:val="both"/>
        <w:rPr>
          <w:rFonts w:eastAsia="Calibri" w:cs="Arial"/>
          <w:noProof/>
          <w:sz w:val="20"/>
          <w:szCs w:val="20"/>
        </w:rPr>
      </w:pPr>
    </w:p>
    <w:p w14:paraId="40836694" w14:textId="49863D3D" w:rsidR="00D150D4" w:rsidRPr="00D150D4" w:rsidRDefault="00D150D4" w:rsidP="00D150D4">
      <w:pPr>
        <w:spacing w:line="276" w:lineRule="auto"/>
        <w:ind w:left="450"/>
        <w:jc w:val="both"/>
        <w:rPr>
          <w:rFonts w:eastAsia="Calibri" w:cs="Arial"/>
          <w:b/>
          <w:bCs/>
          <w:noProof/>
          <w:sz w:val="20"/>
          <w:szCs w:val="20"/>
        </w:rPr>
      </w:pPr>
      <w:r w:rsidRPr="00D150D4">
        <w:rPr>
          <w:rFonts w:eastAsia="Calibri" w:cs="Arial"/>
          <w:b/>
          <w:bCs/>
          <w:noProof/>
          <w:sz w:val="20"/>
          <w:szCs w:val="20"/>
          <w:highlight w:val="darkGray"/>
        </w:rPr>
        <w:t>[Briefly describe how the retention process is implemented, e.g.</w:t>
      </w:r>
      <w:r w:rsidR="006B2897">
        <w:rPr>
          <w:rFonts w:eastAsia="Calibri" w:cs="Arial"/>
          <w:b/>
          <w:bCs/>
          <w:noProof/>
          <w:sz w:val="20"/>
          <w:szCs w:val="20"/>
          <w:highlight w:val="darkGray"/>
        </w:rPr>
        <w:t>,</w:t>
      </w:r>
      <w:r w:rsidRPr="00D150D4">
        <w:rPr>
          <w:rFonts w:eastAsia="Calibri" w:cs="Arial"/>
          <w:b/>
          <w:bCs/>
          <w:noProof/>
          <w:sz w:val="20"/>
          <w:szCs w:val="20"/>
          <w:highlight w:val="darkGray"/>
        </w:rPr>
        <w:t xml:space="preserve"> centralized in a single laboratory facility contracted for this purpose, stored where the initial analysis took place, a combination of options </w:t>
      </w:r>
      <w:r w:rsidRPr="00D150D4">
        <w:rPr>
          <w:rFonts w:eastAsia="Calibri" w:cs="Arial"/>
          <w:b/>
          <w:bCs/>
          <w:noProof/>
          <w:sz w:val="20"/>
          <w:szCs w:val="20"/>
          <w:highlight w:val="darkGray"/>
        </w:rPr>
        <w:lastRenderedPageBreak/>
        <w:t>depending on costs, type of samples, consultations with from laboratories / Athlete Passport Management Unit (APMU), service providers, etc. Any related agreement with a laboratory may be added as an Annex to this policy. The internal procedures for recording/maintaining the list of stored samples (e</w:t>
      </w:r>
      <w:r w:rsidR="006B2897">
        <w:rPr>
          <w:rFonts w:eastAsia="Calibri" w:cs="Arial"/>
          <w:b/>
          <w:bCs/>
          <w:noProof/>
          <w:sz w:val="20"/>
          <w:szCs w:val="20"/>
          <w:highlight w:val="darkGray"/>
        </w:rPr>
        <w:t>.</w:t>
      </w:r>
      <w:r w:rsidRPr="00D150D4">
        <w:rPr>
          <w:rFonts w:eastAsia="Calibri" w:cs="Arial"/>
          <w:b/>
          <w:bCs/>
          <w:noProof/>
          <w:sz w:val="20"/>
          <w:szCs w:val="20"/>
          <w:highlight w:val="darkGray"/>
        </w:rPr>
        <w:t>g</w:t>
      </w:r>
      <w:r w:rsidR="006B2897">
        <w:rPr>
          <w:rFonts w:eastAsia="Calibri" w:cs="Arial"/>
          <w:b/>
          <w:bCs/>
          <w:noProof/>
          <w:sz w:val="20"/>
          <w:szCs w:val="20"/>
          <w:highlight w:val="darkGray"/>
        </w:rPr>
        <w:t>.,</w:t>
      </w:r>
      <w:r w:rsidRPr="00D150D4">
        <w:rPr>
          <w:rFonts w:eastAsia="Calibri" w:cs="Arial"/>
          <w:b/>
          <w:bCs/>
          <w:noProof/>
          <w:sz w:val="20"/>
          <w:szCs w:val="20"/>
          <w:highlight w:val="darkGray"/>
        </w:rPr>
        <w:t xml:space="preserve"> spreadsheet or otherwise) may be also briefly described].</w:t>
      </w:r>
      <w:r w:rsidRPr="00D150D4">
        <w:rPr>
          <w:rFonts w:eastAsia="Calibri" w:cs="Arial"/>
          <w:b/>
          <w:bCs/>
          <w:noProof/>
          <w:sz w:val="20"/>
          <w:szCs w:val="20"/>
        </w:rPr>
        <w:t xml:space="preserve">  </w:t>
      </w:r>
    </w:p>
    <w:p w14:paraId="0C031B4D" w14:textId="77777777" w:rsidR="00D150D4" w:rsidRPr="00D150D4" w:rsidRDefault="00D150D4" w:rsidP="00D150D4">
      <w:pPr>
        <w:spacing w:line="276" w:lineRule="auto"/>
        <w:ind w:left="450"/>
        <w:jc w:val="both"/>
        <w:rPr>
          <w:rFonts w:eastAsia="Calibri" w:cs="Arial"/>
          <w:noProof/>
          <w:sz w:val="20"/>
          <w:szCs w:val="20"/>
        </w:rPr>
      </w:pPr>
    </w:p>
    <w:p w14:paraId="6E3B2326" w14:textId="77777777" w:rsidR="00D150D4" w:rsidRPr="00D150D4" w:rsidRDefault="00D150D4" w:rsidP="00D150D4">
      <w:pPr>
        <w:spacing w:line="276" w:lineRule="auto"/>
        <w:ind w:left="450"/>
        <w:jc w:val="both"/>
        <w:rPr>
          <w:rFonts w:eastAsia="Calibri" w:cs="Arial"/>
          <w:noProof/>
          <w:sz w:val="20"/>
          <w:szCs w:val="20"/>
        </w:rPr>
      </w:pPr>
      <w:r w:rsidRPr="00D150D4">
        <w:rPr>
          <w:rFonts w:eastAsia="Calibri" w:cs="Arial"/>
          <w:b/>
          <w:bCs/>
          <w:noProof/>
          <w:sz w:val="20"/>
          <w:szCs w:val="20"/>
          <w:highlight w:val="darkGray"/>
        </w:rPr>
        <w:t>[ADO]</w:t>
      </w:r>
      <w:r w:rsidRPr="00D150D4">
        <w:rPr>
          <w:rFonts w:eastAsia="Calibri" w:cs="Arial"/>
          <w:noProof/>
          <w:sz w:val="20"/>
          <w:szCs w:val="20"/>
        </w:rPr>
        <w:t xml:space="preserve"> shall retain all sample collection documentation in relation to its samples selected for retention, in compliance with the retention times set out in the International Standard for the Protection of Privacy and Personal Information (ISPPPI), so as to enable a further analysis at a later date.</w:t>
      </w:r>
    </w:p>
    <w:p w14:paraId="6DC06243" w14:textId="77777777" w:rsidR="00D150D4" w:rsidRPr="00D150D4" w:rsidRDefault="00D150D4" w:rsidP="00D150D4">
      <w:pPr>
        <w:spacing w:line="276" w:lineRule="auto"/>
        <w:ind w:left="450"/>
        <w:jc w:val="both"/>
        <w:rPr>
          <w:rFonts w:eastAsia="Calibri" w:cs="Arial"/>
          <w:noProof/>
          <w:sz w:val="20"/>
          <w:szCs w:val="20"/>
        </w:rPr>
      </w:pPr>
    </w:p>
    <w:p w14:paraId="08868F1E" w14:textId="26756C73" w:rsidR="00D150D4" w:rsidRPr="00D150D4" w:rsidRDefault="00D150D4" w:rsidP="00D150D4">
      <w:pPr>
        <w:spacing w:line="276" w:lineRule="auto"/>
        <w:ind w:left="450"/>
        <w:jc w:val="both"/>
        <w:rPr>
          <w:rFonts w:eastAsia="Calibri" w:cs="Arial"/>
          <w:noProof/>
          <w:sz w:val="20"/>
          <w:szCs w:val="20"/>
        </w:rPr>
      </w:pPr>
      <w:r w:rsidRPr="00D150D4">
        <w:rPr>
          <w:rFonts w:eastAsia="Calibri" w:cs="Arial"/>
          <w:noProof/>
          <w:sz w:val="20"/>
          <w:szCs w:val="20"/>
        </w:rPr>
        <w:t xml:space="preserve">Consideration for sample retention will be implemented on an ongoing basis and selection criteria may evolve depending on </w:t>
      </w:r>
      <w:r w:rsidRPr="00D150D4">
        <w:rPr>
          <w:rFonts w:eastAsia="Calibri" w:cs="Arial"/>
          <w:b/>
          <w:bCs/>
          <w:noProof/>
          <w:sz w:val="20"/>
          <w:szCs w:val="20"/>
          <w:highlight w:val="darkGray"/>
        </w:rPr>
        <w:t>[ADO]</w:t>
      </w:r>
      <w:r w:rsidRPr="00D150D4">
        <w:rPr>
          <w:rFonts w:eastAsia="Calibri" w:cs="Arial"/>
          <w:noProof/>
          <w:sz w:val="20"/>
          <w:szCs w:val="20"/>
        </w:rPr>
        <w:t xml:space="preserve">’s risk assessment, new intelligence received, new methods of detection, laboratories and APMU recommendations. </w:t>
      </w:r>
    </w:p>
    <w:p w14:paraId="2D2D1F3B" w14:textId="77777777" w:rsidR="00D150D4" w:rsidRPr="00D150D4" w:rsidRDefault="00D150D4" w:rsidP="00D150D4">
      <w:pPr>
        <w:spacing w:line="276" w:lineRule="auto"/>
        <w:ind w:left="450"/>
        <w:jc w:val="both"/>
        <w:rPr>
          <w:rFonts w:eastAsia="Calibri" w:cs="Arial"/>
          <w:noProof/>
          <w:sz w:val="20"/>
          <w:szCs w:val="20"/>
        </w:rPr>
      </w:pPr>
    </w:p>
    <w:p w14:paraId="3713F027" w14:textId="62EFEE23" w:rsidR="00D150D4" w:rsidRPr="00D150D4" w:rsidRDefault="00D150D4" w:rsidP="00D150D4">
      <w:pPr>
        <w:spacing w:line="276" w:lineRule="auto"/>
        <w:ind w:left="450"/>
        <w:jc w:val="both"/>
        <w:rPr>
          <w:rFonts w:eastAsia="Calibri" w:cs="Arial"/>
          <w:noProof/>
          <w:sz w:val="20"/>
          <w:szCs w:val="20"/>
        </w:rPr>
      </w:pPr>
      <w:r w:rsidRPr="00D150D4">
        <w:rPr>
          <w:rFonts w:eastAsia="Calibri" w:cs="Arial"/>
          <w:b/>
          <w:bCs/>
          <w:noProof/>
          <w:sz w:val="20"/>
          <w:szCs w:val="20"/>
          <w:highlight w:val="darkGray"/>
        </w:rPr>
        <w:t>[ADO]</w:t>
      </w:r>
      <w:r w:rsidRPr="00D150D4">
        <w:rPr>
          <w:rFonts w:eastAsia="Calibri" w:cs="Arial"/>
          <w:noProof/>
          <w:sz w:val="20"/>
          <w:szCs w:val="20"/>
        </w:rPr>
        <w:t>’s selection criteria for sample retention are:</w:t>
      </w:r>
    </w:p>
    <w:p w14:paraId="12F0DA38" w14:textId="77777777" w:rsidR="00D150D4" w:rsidRPr="00D150D4" w:rsidRDefault="00D150D4" w:rsidP="00D150D4">
      <w:pPr>
        <w:spacing w:line="276" w:lineRule="auto"/>
        <w:ind w:left="450"/>
        <w:jc w:val="both"/>
        <w:rPr>
          <w:rFonts w:eastAsia="Calibri" w:cs="Arial"/>
          <w:noProof/>
          <w:sz w:val="20"/>
          <w:szCs w:val="20"/>
        </w:rPr>
      </w:pPr>
    </w:p>
    <w:p w14:paraId="3CF045D9" w14:textId="77777777" w:rsidR="00D150D4" w:rsidRPr="00D150D4" w:rsidRDefault="00D150D4" w:rsidP="00D150D4">
      <w:pPr>
        <w:spacing w:line="276" w:lineRule="auto"/>
        <w:ind w:left="450"/>
        <w:jc w:val="both"/>
        <w:rPr>
          <w:rFonts w:eastAsia="Calibri" w:cs="Arial"/>
          <w:b/>
          <w:bCs/>
          <w:noProof/>
          <w:sz w:val="20"/>
          <w:szCs w:val="20"/>
        </w:rPr>
      </w:pPr>
      <w:r w:rsidRPr="00D150D4">
        <w:rPr>
          <w:rFonts w:eastAsia="Calibri" w:cs="Arial"/>
          <w:b/>
          <w:bCs/>
          <w:noProof/>
          <w:sz w:val="20"/>
          <w:szCs w:val="20"/>
          <w:highlight w:val="darkGray"/>
        </w:rPr>
        <w:t>[In line with the number inserted above, describe the selection criteria].</w:t>
      </w:r>
    </w:p>
    <w:p w14:paraId="68B475D0" w14:textId="77777777" w:rsidR="00D150D4" w:rsidRPr="00D150D4" w:rsidRDefault="00D150D4" w:rsidP="00D150D4">
      <w:pPr>
        <w:spacing w:line="276" w:lineRule="auto"/>
        <w:ind w:left="450"/>
        <w:jc w:val="both"/>
        <w:rPr>
          <w:rFonts w:eastAsia="Calibri" w:cs="Arial"/>
          <w:noProof/>
          <w:sz w:val="20"/>
          <w:szCs w:val="20"/>
        </w:rPr>
      </w:pPr>
    </w:p>
    <w:p w14:paraId="6E18A08D" w14:textId="28E3AA3B" w:rsidR="00D150D4" w:rsidRPr="001D02C4" w:rsidRDefault="00D150D4" w:rsidP="00D508DB">
      <w:pPr>
        <w:pStyle w:val="ListParagraph"/>
        <w:numPr>
          <w:ilvl w:val="0"/>
          <w:numId w:val="10"/>
        </w:numPr>
        <w:spacing w:line="276" w:lineRule="auto"/>
        <w:jc w:val="both"/>
        <w:rPr>
          <w:rFonts w:ascii="Arial Black" w:eastAsia="Calibri" w:hAnsi="Arial Black" w:cs="Arial"/>
          <w:b/>
          <w:bCs/>
          <w:noProof/>
          <w:sz w:val="20"/>
          <w:szCs w:val="20"/>
        </w:rPr>
      </w:pPr>
      <w:r w:rsidRPr="001D02C4">
        <w:rPr>
          <w:rFonts w:ascii="Arial Black" w:eastAsia="Calibri" w:hAnsi="Arial Black" w:cs="Arial"/>
          <w:b/>
          <w:bCs/>
          <w:noProof/>
          <w:sz w:val="20"/>
          <w:szCs w:val="20"/>
        </w:rPr>
        <w:t>Athlete’s performance criteria</w:t>
      </w:r>
    </w:p>
    <w:p w14:paraId="41D421F5" w14:textId="77777777" w:rsidR="00D150D4" w:rsidRPr="00D150D4" w:rsidRDefault="00D150D4" w:rsidP="00D150D4">
      <w:pPr>
        <w:spacing w:line="276" w:lineRule="auto"/>
        <w:ind w:left="450"/>
        <w:jc w:val="both"/>
        <w:rPr>
          <w:rFonts w:eastAsia="Calibri" w:cs="Arial"/>
          <w:noProof/>
          <w:sz w:val="20"/>
          <w:szCs w:val="20"/>
        </w:rPr>
      </w:pPr>
    </w:p>
    <w:p w14:paraId="02277AAA" w14:textId="6839B3FB" w:rsidR="00D150D4" w:rsidRPr="00D150D4" w:rsidRDefault="00D150D4" w:rsidP="00D150D4">
      <w:pPr>
        <w:spacing w:line="276" w:lineRule="auto"/>
        <w:ind w:left="450"/>
        <w:jc w:val="both"/>
        <w:rPr>
          <w:rFonts w:eastAsia="Calibri" w:cs="Arial"/>
          <w:b/>
          <w:bCs/>
          <w:noProof/>
          <w:sz w:val="20"/>
          <w:szCs w:val="20"/>
        </w:rPr>
      </w:pPr>
      <w:r w:rsidRPr="00D150D4">
        <w:rPr>
          <w:rFonts w:eastAsia="Calibri" w:cs="Arial"/>
          <w:noProof/>
          <w:sz w:val="20"/>
          <w:szCs w:val="20"/>
        </w:rPr>
        <w:t xml:space="preserve">Where there is no specific intelligence, the following samples collected from athletes based on results/performance and </w:t>
      </w:r>
      <w:r w:rsidRPr="00D150D4">
        <w:rPr>
          <w:rFonts w:eastAsia="Calibri" w:cs="Arial"/>
          <w:b/>
          <w:bCs/>
          <w:noProof/>
          <w:sz w:val="20"/>
          <w:szCs w:val="20"/>
          <w:highlight w:val="darkGray"/>
        </w:rPr>
        <w:t>[ADO]</w:t>
      </w:r>
      <w:r w:rsidRPr="00D150D4">
        <w:rPr>
          <w:rFonts w:eastAsia="Calibri" w:cs="Arial"/>
          <w:noProof/>
          <w:sz w:val="20"/>
          <w:szCs w:val="20"/>
        </w:rPr>
        <w:t xml:space="preserve">’s determination of its highest risk sports/disciplines </w:t>
      </w:r>
      <w:r w:rsidRPr="00D150D4">
        <w:rPr>
          <w:rFonts w:eastAsia="Calibri" w:cs="Arial"/>
          <w:b/>
          <w:bCs/>
          <w:noProof/>
          <w:sz w:val="20"/>
          <w:szCs w:val="20"/>
          <w:highlight w:val="darkGray"/>
        </w:rPr>
        <w:t>[and participating nations (for International Federations (IFs)]</w:t>
      </w:r>
      <w:r w:rsidRPr="00D150D4">
        <w:rPr>
          <w:rFonts w:eastAsia="Calibri" w:cs="Arial"/>
          <w:noProof/>
          <w:sz w:val="20"/>
          <w:szCs w:val="20"/>
        </w:rPr>
        <w:t>:</w:t>
      </w:r>
    </w:p>
    <w:p w14:paraId="3F998A40" w14:textId="77777777" w:rsidR="00D150D4" w:rsidRPr="00D150D4" w:rsidRDefault="00D150D4" w:rsidP="00D150D4">
      <w:pPr>
        <w:spacing w:line="276" w:lineRule="auto"/>
        <w:ind w:left="450"/>
        <w:jc w:val="both"/>
        <w:rPr>
          <w:rFonts w:eastAsia="Calibri" w:cs="Arial"/>
          <w:noProof/>
          <w:sz w:val="20"/>
          <w:szCs w:val="20"/>
        </w:rPr>
      </w:pPr>
    </w:p>
    <w:p w14:paraId="00597F77" w14:textId="05301398" w:rsidR="00D150D4" w:rsidRPr="00D150D4" w:rsidRDefault="00D150D4" w:rsidP="00D150D4">
      <w:pPr>
        <w:spacing w:line="276" w:lineRule="auto"/>
        <w:ind w:left="450"/>
        <w:jc w:val="both"/>
        <w:rPr>
          <w:rFonts w:eastAsia="Calibri" w:cs="Arial"/>
          <w:b/>
          <w:bCs/>
          <w:noProof/>
          <w:sz w:val="20"/>
          <w:szCs w:val="20"/>
          <w:highlight w:val="darkGray"/>
        </w:rPr>
      </w:pPr>
      <w:r w:rsidRPr="00D150D4">
        <w:rPr>
          <w:rFonts w:eastAsia="Calibri" w:cs="Arial"/>
          <w:b/>
          <w:bCs/>
          <w:noProof/>
          <w:sz w:val="20"/>
          <w:szCs w:val="20"/>
          <w:highlight w:val="darkGray"/>
        </w:rPr>
        <w:t>[Insert details, in line with the minimum number determined above. For example:</w:t>
      </w:r>
    </w:p>
    <w:p w14:paraId="047BA3EB" w14:textId="77777777" w:rsidR="00D150D4" w:rsidRPr="00D150D4" w:rsidRDefault="00D150D4" w:rsidP="00D150D4">
      <w:pPr>
        <w:spacing w:line="276" w:lineRule="auto"/>
        <w:ind w:left="450"/>
        <w:jc w:val="both"/>
        <w:rPr>
          <w:rFonts w:eastAsia="Calibri" w:cs="Arial"/>
          <w:b/>
          <w:bCs/>
          <w:noProof/>
          <w:sz w:val="20"/>
          <w:szCs w:val="20"/>
          <w:highlight w:val="darkGray"/>
        </w:rPr>
      </w:pPr>
    </w:p>
    <w:p w14:paraId="164C1DE1" w14:textId="1B452D00" w:rsidR="00D150D4" w:rsidRPr="00D150D4" w:rsidRDefault="00D150D4" w:rsidP="00D508DB">
      <w:pPr>
        <w:pStyle w:val="ListParagraph"/>
        <w:numPr>
          <w:ilvl w:val="0"/>
          <w:numId w:val="11"/>
        </w:numPr>
        <w:spacing w:after="120" w:line="276" w:lineRule="auto"/>
        <w:ind w:left="1166"/>
        <w:jc w:val="both"/>
        <w:rPr>
          <w:rFonts w:eastAsia="Calibri" w:cs="Arial"/>
          <w:b/>
          <w:bCs/>
          <w:noProof/>
          <w:sz w:val="20"/>
          <w:szCs w:val="20"/>
          <w:highlight w:val="darkGray"/>
        </w:rPr>
      </w:pPr>
      <w:r w:rsidRPr="00D150D4">
        <w:rPr>
          <w:rFonts w:eastAsia="Calibri" w:cs="Arial"/>
          <w:b/>
          <w:bCs/>
          <w:noProof/>
          <w:sz w:val="20"/>
          <w:szCs w:val="20"/>
          <w:highlight w:val="darkGray"/>
        </w:rPr>
        <w:t>Medal winners/top finishers at World Championships/flagship events from those disciplines or nations identified as higher risk (for IFs ), top National-Level Athletes or athletes qualified for prominent Major Events in high risk sports (for National Anti-Doping Organizations), top finishers at World Championships in high risk disciplines (for International Federations (IFs)). Medal winners in major/flagship events from those sports identified as higher risk.</w:t>
      </w:r>
    </w:p>
    <w:p w14:paraId="18F72AA7" w14:textId="77777777" w:rsidR="00D150D4" w:rsidRPr="00D150D4" w:rsidRDefault="00D150D4" w:rsidP="00D150D4">
      <w:pPr>
        <w:pStyle w:val="ListParagraph"/>
        <w:numPr>
          <w:ilvl w:val="0"/>
          <w:numId w:val="0"/>
        </w:numPr>
        <w:spacing w:before="120" w:line="276" w:lineRule="auto"/>
        <w:ind w:left="1166"/>
        <w:jc w:val="both"/>
        <w:rPr>
          <w:rFonts w:eastAsia="Calibri" w:cs="Arial"/>
          <w:b/>
          <w:bCs/>
          <w:noProof/>
          <w:sz w:val="20"/>
          <w:szCs w:val="20"/>
          <w:highlight w:val="darkGray"/>
        </w:rPr>
      </w:pPr>
    </w:p>
    <w:p w14:paraId="012308BC" w14:textId="3B638ACB" w:rsidR="00D150D4" w:rsidRPr="00D150D4" w:rsidRDefault="00D150D4" w:rsidP="00D508DB">
      <w:pPr>
        <w:pStyle w:val="ListParagraph"/>
        <w:numPr>
          <w:ilvl w:val="0"/>
          <w:numId w:val="11"/>
        </w:numPr>
        <w:spacing w:before="120" w:line="276" w:lineRule="auto"/>
        <w:ind w:left="1166"/>
        <w:jc w:val="both"/>
        <w:rPr>
          <w:rFonts w:eastAsia="Calibri" w:cs="Arial"/>
          <w:b/>
          <w:bCs/>
          <w:noProof/>
          <w:sz w:val="20"/>
          <w:szCs w:val="20"/>
          <w:highlight w:val="darkGray"/>
        </w:rPr>
      </w:pPr>
      <w:r w:rsidRPr="00D150D4">
        <w:rPr>
          <w:rFonts w:eastAsia="Calibri" w:cs="Arial"/>
          <w:b/>
          <w:bCs/>
          <w:noProof/>
          <w:sz w:val="20"/>
          <w:szCs w:val="20"/>
          <w:highlight w:val="darkGray"/>
        </w:rPr>
        <w:t>Athletes’ ages in relation to potential career paths, e.g. promising performers in the top Juniors categories.</w:t>
      </w:r>
    </w:p>
    <w:p w14:paraId="74D068C8" w14:textId="77777777" w:rsidR="00D150D4" w:rsidRPr="00D150D4" w:rsidRDefault="00D150D4" w:rsidP="00D150D4">
      <w:pPr>
        <w:pStyle w:val="ListParagraph"/>
        <w:numPr>
          <w:ilvl w:val="0"/>
          <w:numId w:val="0"/>
        </w:numPr>
        <w:spacing w:before="120" w:line="276" w:lineRule="auto"/>
        <w:ind w:left="1166"/>
        <w:jc w:val="both"/>
        <w:rPr>
          <w:rFonts w:eastAsia="Calibri" w:cs="Arial"/>
          <w:b/>
          <w:bCs/>
          <w:noProof/>
          <w:sz w:val="20"/>
          <w:szCs w:val="20"/>
          <w:highlight w:val="darkGray"/>
        </w:rPr>
      </w:pPr>
    </w:p>
    <w:p w14:paraId="3812C63D" w14:textId="1C4D03A3" w:rsidR="00D150D4" w:rsidRDefault="00D150D4" w:rsidP="00D508DB">
      <w:pPr>
        <w:pStyle w:val="ListParagraph"/>
        <w:numPr>
          <w:ilvl w:val="0"/>
          <w:numId w:val="11"/>
        </w:numPr>
        <w:spacing w:line="276" w:lineRule="auto"/>
        <w:jc w:val="both"/>
        <w:rPr>
          <w:rFonts w:eastAsia="Calibri" w:cs="Arial"/>
          <w:noProof/>
          <w:sz w:val="20"/>
          <w:szCs w:val="20"/>
        </w:rPr>
      </w:pPr>
      <w:r w:rsidRPr="00D150D4">
        <w:rPr>
          <w:rFonts w:eastAsia="Calibri" w:cs="Arial"/>
          <w:b/>
          <w:bCs/>
          <w:noProof/>
          <w:sz w:val="20"/>
          <w:szCs w:val="20"/>
          <w:highlight w:val="darkGray"/>
        </w:rPr>
        <w:t>Out-of-competition samples from athletes within these criteria if the risk of doping has been determined as higher out-of-competition and these are samples where the detection of prohibited substances is most probable]</w:t>
      </w:r>
      <w:r w:rsidRPr="00D150D4">
        <w:rPr>
          <w:rFonts w:eastAsia="Calibri" w:cs="Arial"/>
          <w:noProof/>
          <w:sz w:val="20"/>
          <w:szCs w:val="20"/>
        </w:rPr>
        <w:t>.</w:t>
      </w:r>
    </w:p>
    <w:p w14:paraId="519141BB" w14:textId="77777777" w:rsidR="00D150D4" w:rsidRPr="00D150D4" w:rsidRDefault="00D150D4" w:rsidP="00D150D4">
      <w:pPr>
        <w:pStyle w:val="ListParagraph"/>
        <w:numPr>
          <w:ilvl w:val="0"/>
          <w:numId w:val="0"/>
        </w:numPr>
        <w:spacing w:line="276" w:lineRule="auto"/>
        <w:ind w:left="1170"/>
        <w:jc w:val="both"/>
        <w:rPr>
          <w:rFonts w:eastAsia="Calibri" w:cs="Arial"/>
          <w:noProof/>
          <w:sz w:val="20"/>
          <w:szCs w:val="20"/>
        </w:rPr>
      </w:pPr>
    </w:p>
    <w:p w14:paraId="434BDB41" w14:textId="48140659" w:rsidR="00D150D4" w:rsidRPr="001D02C4" w:rsidRDefault="00D150D4" w:rsidP="00D508DB">
      <w:pPr>
        <w:pStyle w:val="ListParagraph"/>
        <w:numPr>
          <w:ilvl w:val="0"/>
          <w:numId w:val="10"/>
        </w:numPr>
        <w:spacing w:line="276" w:lineRule="auto"/>
        <w:jc w:val="both"/>
        <w:rPr>
          <w:rFonts w:ascii="Arial Black" w:eastAsia="Calibri" w:hAnsi="Arial Black" w:cs="Arial"/>
          <w:b/>
          <w:bCs/>
          <w:noProof/>
          <w:sz w:val="20"/>
          <w:szCs w:val="20"/>
        </w:rPr>
      </w:pPr>
      <w:r w:rsidRPr="001D02C4">
        <w:rPr>
          <w:rFonts w:ascii="Arial Black" w:eastAsia="Calibri" w:hAnsi="Arial Black" w:cs="Arial"/>
          <w:b/>
          <w:bCs/>
          <w:noProof/>
          <w:sz w:val="20"/>
          <w:szCs w:val="20"/>
        </w:rPr>
        <w:t>Intelligence-based criteria</w:t>
      </w:r>
    </w:p>
    <w:p w14:paraId="50272614" w14:textId="4D0DE00B" w:rsidR="00D150D4" w:rsidRDefault="00D150D4" w:rsidP="00D508DB">
      <w:pPr>
        <w:pStyle w:val="ListParagraph"/>
        <w:numPr>
          <w:ilvl w:val="0"/>
          <w:numId w:val="12"/>
        </w:numPr>
        <w:spacing w:line="276" w:lineRule="auto"/>
        <w:jc w:val="both"/>
        <w:rPr>
          <w:rFonts w:eastAsia="Calibri" w:cs="Arial"/>
          <w:noProof/>
          <w:sz w:val="20"/>
          <w:szCs w:val="20"/>
        </w:rPr>
      </w:pPr>
      <w:r w:rsidRPr="00D150D4">
        <w:rPr>
          <w:rFonts w:eastAsia="Calibri" w:cs="Arial"/>
          <w:noProof/>
          <w:sz w:val="20"/>
          <w:szCs w:val="20"/>
        </w:rPr>
        <w:lastRenderedPageBreak/>
        <w:t xml:space="preserve">Samples collected from athletes meeting individual risk factors, as set out in ISTI Article 4.5.3, including any reliable information outcoming from </w:t>
      </w:r>
      <w:r w:rsidRPr="00D150D4">
        <w:rPr>
          <w:rFonts w:eastAsia="Calibri" w:cs="Arial"/>
          <w:b/>
          <w:bCs/>
          <w:noProof/>
          <w:sz w:val="20"/>
          <w:szCs w:val="20"/>
          <w:highlight w:val="darkGray"/>
        </w:rPr>
        <w:t>[ADO]</w:t>
      </w:r>
      <w:r w:rsidRPr="00D150D4">
        <w:rPr>
          <w:rFonts w:eastAsia="Calibri" w:cs="Arial"/>
          <w:noProof/>
          <w:sz w:val="20"/>
          <w:szCs w:val="20"/>
        </w:rPr>
        <w:t xml:space="preserve">’s whistleblower program, or that has been shared with </w:t>
      </w:r>
      <w:r w:rsidRPr="00D150D4">
        <w:rPr>
          <w:rFonts w:eastAsia="Calibri" w:cs="Arial"/>
          <w:b/>
          <w:bCs/>
          <w:noProof/>
          <w:sz w:val="20"/>
          <w:szCs w:val="20"/>
          <w:highlight w:val="darkGray"/>
        </w:rPr>
        <w:t>[ADO]</w:t>
      </w:r>
      <w:r w:rsidRPr="00D150D4">
        <w:rPr>
          <w:rFonts w:eastAsia="Calibri" w:cs="Arial"/>
          <w:noProof/>
          <w:sz w:val="20"/>
          <w:szCs w:val="20"/>
        </w:rPr>
        <w:t xml:space="preserve"> by a reliable third party. </w:t>
      </w:r>
    </w:p>
    <w:p w14:paraId="2858E3BC" w14:textId="77777777" w:rsidR="00D150D4" w:rsidRPr="00D150D4" w:rsidRDefault="00D150D4" w:rsidP="00D150D4">
      <w:pPr>
        <w:pStyle w:val="ListParagraph"/>
        <w:numPr>
          <w:ilvl w:val="0"/>
          <w:numId w:val="0"/>
        </w:numPr>
        <w:spacing w:line="276" w:lineRule="auto"/>
        <w:ind w:left="1170"/>
        <w:jc w:val="both"/>
        <w:rPr>
          <w:rFonts w:eastAsia="Calibri" w:cs="Arial"/>
          <w:noProof/>
          <w:sz w:val="20"/>
          <w:szCs w:val="20"/>
        </w:rPr>
      </w:pPr>
    </w:p>
    <w:p w14:paraId="08ECA276" w14:textId="75255FB0" w:rsidR="00D150D4" w:rsidRPr="001D02C4" w:rsidRDefault="00D150D4" w:rsidP="00D508DB">
      <w:pPr>
        <w:pStyle w:val="ListParagraph"/>
        <w:numPr>
          <w:ilvl w:val="0"/>
          <w:numId w:val="10"/>
        </w:numPr>
        <w:spacing w:line="276" w:lineRule="auto"/>
        <w:jc w:val="both"/>
        <w:rPr>
          <w:rFonts w:ascii="Arial Black" w:eastAsia="Calibri" w:hAnsi="Arial Black" w:cs="Arial"/>
          <w:noProof/>
          <w:sz w:val="20"/>
          <w:szCs w:val="20"/>
        </w:rPr>
      </w:pPr>
      <w:r w:rsidRPr="001D02C4">
        <w:rPr>
          <w:rFonts w:ascii="Arial Black" w:eastAsia="Calibri" w:hAnsi="Arial Black" w:cs="Arial"/>
          <w:b/>
          <w:bCs/>
          <w:noProof/>
          <w:sz w:val="20"/>
          <w:szCs w:val="20"/>
        </w:rPr>
        <w:t>Recommendations from laboratories and APMU in assisting [ADO] to identify any potential at risk athlete whom sample(s) could be usefully stored</w:t>
      </w:r>
    </w:p>
    <w:p w14:paraId="0D1D8B56" w14:textId="77777777" w:rsidR="00D150D4" w:rsidRDefault="00D150D4" w:rsidP="00D150D4">
      <w:pPr>
        <w:spacing w:line="276" w:lineRule="auto"/>
        <w:ind w:left="450"/>
        <w:jc w:val="both"/>
        <w:rPr>
          <w:rFonts w:eastAsia="Calibri" w:cs="Arial"/>
          <w:noProof/>
          <w:sz w:val="20"/>
          <w:szCs w:val="20"/>
        </w:rPr>
      </w:pPr>
    </w:p>
    <w:p w14:paraId="7921507F" w14:textId="666B0932" w:rsidR="00D150D4" w:rsidRDefault="00D150D4" w:rsidP="00D150D4">
      <w:pPr>
        <w:spacing w:line="276" w:lineRule="auto"/>
        <w:ind w:left="900" w:firstLine="270"/>
        <w:jc w:val="both"/>
        <w:rPr>
          <w:rFonts w:eastAsia="Calibri" w:cs="Arial"/>
          <w:noProof/>
          <w:sz w:val="20"/>
          <w:szCs w:val="20"/>
        </w:rPr>
      </w:pPr>
      <w:r w:rsidRPr="00D150D4">
        <w:rPr>
          <w:rFonts w:eastAsia="Calibri" w:cs="Arial"/>
          <w:noProof/>
          <w:sz w:val="20"/>
          <w:szCs w:val="20"/>
        </w:rPr>
        <w:t>This includes, without limitation:</w:t>
      </w:r>
    </w:p>
    <w:p w14:paraId="0E1A0ADB" w14:textId="6EFD7774" w:rsidR="00D150D4" w:rsidRDefault="00D150D4" w:rsidP="00D508DB">
      <w:pPr>
        <w:pStyle w:val="ListParagraph"/>
        <w:numPr>
          <w:ilvl w:val="0"/>
          <w:numId w:val="12"/>
        </w:numPr>
        <w:spacing w:before="120" w:after="120" w:line="276" w:lineRule="auto"/>
        <w:ind w:left="1166"/>
        <w:jc w:val="both"/>
        <w:rPr>
          <w:rFonts w:eastAsia="Calibri" w:cs="Arial"/>
          <w:noProof/>
          <w:sz w:val="20"/>
          <w:szCs w:val="20"/>
        </w:rPr>
      </w:pPr>
      <w:r w:rsidRPr="00D150D4">
        <w:rPr>
          <w:rFonts w:eastAsia="Calibri" w:cs="Arial"/>
          <w:noProof/>
          <w:sz w:val="20"/>
          <w:szCs w:val="20"/>
        </w:rPr>
        <w:t>Samples deemed suspicious by a laboratory while not having met the AAF or ATF criteria</w:t>
      </w:r>
      <w:r>
        <w:rPr>
          <w:rFonts w:eastAsia="Calibri" w:cs="Arial"/>
          <w:noProof/>
          <w:sz w:val="20"/>
          <w:szCs w:val="20"/>
        </w:rPr>
        <w:t>.</w:t>
      </w:r>
    </w:p>
    <w:p w14:paraId="0CDC9927" w14:textId="77777777" w:rsidR="001D02C4" w:rsidRDefault="001D02C4" w:rsidP="001D02C4">
      <w:pPr>
        <w:pStyle w:val="ListParagraph"/>
        <w:numPr>
          <w:ilvl w:val="0"/>
          <w:numId w:val="0"/>
        </w:numPr>
        <w:spacing w:before="120" w:after="120" w:line="276" w:lineRule="auto"/>
        <w:ind w:left="1166"/>
        <w:jc w:val="both"/>
        <w:rPr>
          <w:rFonts w:eastAsia="Calibri" w:cs="Arial"/>
          <w:noProof/>
          <w:sz w:val="20"/>
          <w:szCs w:val="20"/>
        </w:rPr>
      </w:pPr>
    </w:p>
    <w:p w14:paraId="1D9F31CF" w14:textId="05EC11F6" w:rsidR="00D150D4" w:rsidRDefault="00D150D4" w:rsidP="00D508DB">
      <w:pPr>
        <w:pStyle w:val="ListParagraph"/>
        <w:numPr>
          <w:ilvl w:val="0"/>
          <w:numId w:val="12"/>
        </w:numPr>
        <w:spacing w:before="120" w:after="120" w:line="276" w:lineRule="auto"/>
        <w:ind w:left="1166"/>
        <w:jc w:val="both"/>
        <w:rPr>
          <w:rFonts w:eastAsia="Calibri" w:cs="Arial"/>
          <w:noProof/>
          <w:sz w:val="20"/>
          <w:szCs w:val="20"/>
        </w:rPr>
      </w:pPr>
      <w:r w:rsidRPr="00D150D4">
        <w:rPr>
          <w:rFonts w:eastAsia="Calibri" w:cs="Arial"/>
          <w:noProof/>
          <w:sz w:val="20"/>
          <w:szCs w:val="20"/>
        </w:rPr>
        <w:t>Athlete’s samples with suspicious Athlete Biological Passport (ABP) data (including samples collected from the same athlete at the same time as an ABP sample which the APMU or Expert Panel has determined as suspicious).</w:t>
      </w:r>
    </w:p>
    <w:p w14:paraId="101D1894" w14:textId="77777777" w:rsidR="001D02C4" w:rsidRDefault="001D02C4" w:rsidP="001D02C4">
      <w:pPr>
        <w:pStyle w:val="ListParagraph"/>
        <w:numPr>
          <w:ilvl w:val="0"/>
          <w:numId w:val="0"/>
        </w:numPr>
        <w:spacing w:before="120" w:after="120" w:line="276" w:lineRule="auto"/>
        <w:ind w:left="1166"/>
        <w:jc w:val="both"/>
        <w:rPr>
          <w:rFonts w:eastAsia="Calibri" w:cs="Arial"/>
          <w:noProof/>
          <w:sz w:val="20"/>
          <w:szCs w:val="20"/>
        </w:rPr>
      </w:pPr>
    </w:p>
    <w:p w14:paraId="7EB34FBB" w14:textId="7844364D" w:rsidR="00D150D4" w:rsidRDefault="00D150D4" w:rsidP="00D508DB">
      <w:pPr>
        <w:pStyle w:val="ListParagraph"/>
        <w:numPr>
          <w:ilvl w:val="0"/>
          <w:numId w:val="13"/>
        </w:numPr>
        <w:spacing w:before="120" w:after="120" w:line="276" w:lineRule="auto"/>
        <w:jc w:val="both"/>
        <w:rPr>
          <w:rFonts w:eastAsia="Calibri" w:cs="Arial"/>
          <w:noProof/>
          <w:sz w:val="20"/>
          <w:szCs w:val="20"/>
        </w:rPr>
      </w:pPr>
      <w:r w:rsidRPr="00D150D4">
        <w:rPr>
          <w:rFonts w:eastAsia="Calibri" w:cs="Arial"/>
          <w:noProof/>
          <w:sz w:val="20"/>
          <w:szCs w:val="20"/>
        </w:rPr>
        <w:t>Samples technical and analytical conditions (samples having sufficient volume to enable further analysis, chain of custody, risk that samples degrade over time, etc.)</w:t>
      </w:r>
      <w:r w:rsidR="001D02C4">
        <w:rPr>
          <w:rFonts w:eastAsia="Calibri" w:cs="Arial"/>
          <w:noProof/>
          <w:sz w:val="20"/>
          <w:szCs w:val="20"/>
        </w:rPr>
        <w:t>.</w:t>
      </w:r>
    </w:p>
    <w:p w14:paraId="6BE41631" w14:textId="77777777" w:rsidR="001D02C4" w:rsidRPr="00D150D4" w:rsidRDefault="001D02C4" w:rsidP="001D02C4">
      <w:pPr>
        <w:pStyle w:val="ListParagraph"/>
        <w:numPr>
          <w:ilvl w:val="0"/>
          <w:numId w:val="0"/>
        </w:numPr>
        <w:spacing w:before="120" w:after="120" w:line="276" w:lineRule="auto"/>
        <w:ind w:left="1170"/>
        <w:jc w:val="both"/>
        <w:rPr>
          <w:rFonts w:eastAsia="Calibri" w:cs="Arial"/>
          <w:noProof/>
          <w:sz w:val="20"/>
          <w:szCs w:val="20"/>
        </w:rPr>
      </w:pPr>
    </w:p>
    <w:p w14:paraId="4006B2B1" w14:textId="52EEE205" w:rsidR="00D150D4" w:rsidRDefault="00D150D4" w:rsidP="00D508DB">
      <w:pPr>
        <w:pStyle w:val="ListParagraph"/>
        <w:numPr>
          <w:ilvl w:val="0"/>
          <w:numId w:val="12"/>
        </w:numPr>
        <w:spacing w:before="120" w:after="120" w:line="276" w:lineRule="auto"/>
        <w:ind w:left="1166"/>
        <w:jc w:val="both"/>
        <w:rPr>
          <w:rFonts w:eastAsia="Calibri" w:cs="Arial"/>
          <w:noProof/>
          <w:sz w:val="20"/>
          <w:szCs w:val="20"/>
        </w:rPr>
      </w:pPr>
      <w:r w:rsidRPr="00D150D4">
        <w:rPr>
          <w:rFonts w:eastAsia="Calibri" w:cs="Arial"/>
          <w:noProof/>
          <w:sz w:val="20"/>
          <w:szCs w:val="20"/>
        </w:rPr>
        <w:t>New detection methods to be introduced in the near future relevant to</w:t>
      </w:r>
      <w:r w:rsidRPr="001D02C4">
        <w:rPr>
          <w:rFonts w:eastAsia="Calibri" w:cs="Arial"/>
          <w:b/>
          <w:bCs/>
          <w:noProof/>
          <w:sz w:val="20"/>
          <w:szCs w:val="20"/>
        </w:rPr>
        <w:t xml:space="preserve"> </w:t>
      </w:r>
      <w:r w:rsidRPr="001D02C4">
        <w:rPr>
          <w:rFonts w:eastAsia="Calibri" w:cs="Arial"/>
          <w:b/>
          <w:bCs/>
          <w:noProof/>
          <w:sz w:val="20"/>
          <w:szCs w:val="20"/>
          <w:highlight w:val="darkGray"/>
        </w:rPr>
        <w:t>[ADO]</w:t>
      </w:r>
      <w:r w:rsidRPr="00D150D4">
        <w:rPr>
          <w:rFonts w:eastAsia="Calibri" w:cs="Arial"/>
          <w:noProof/>
          <w:sz w:val="20"/>
          <w:szCs w:val="20"/>
        </w:rPr>
        <w:t>’s athletes, sports, disciplines</w:t>
      </w:r>
      <w:r w:rsidR="001D02C4">
        <w:rPr>
          <w:rFonts w:eastAsia="Calibri" w:cs="Arial"/>
          <w:noProof/>
          <w:sz w:val="20"/>
          <w:szCs w:val="20"/>
        </w:rPr>
        <w:t>.</w:t>
      </w:r>
    </w:p>
    <w:p w14:paraId="3161AD10" w14:textId="77777777" w:rsidR="001D02C4" w:rsidRPr="00D150D4" w:rsidRDefault="001D02C4" w:rsidP="001D02C4">
      <w:pPr>
        <w:pStyle w:val="ListParagraph"/>
        <w:numPr>
          <w:ilvl w:val="0"/>
          <w:numId w:val="0"/>
        </w:numPr>
        <w:spacing w:before="120" w:after="120" w:line="276" w:lineRule="auto"/>
        <w:ind w:left="1166"/>
        <w:jc w:val="both"/>
        <w:rPr>
          <w:rFonts w:eastAsia="Calibri" w:cs="Arial"/>
          <w:noProof/>
          <w:sz w:val="20"/>
          <w:szCs w:val="20"/>
        </w:rPr>
      </w:pPr>
    </w:p>
    <w:p w14:paraId="5C021095" w14:textId="10AC0820" w:rsidR="00D150D4" w:rsidRDefault="00D150D4" w:rsidP="00D508DB">
      <w:pPr>
        <w:pStyle w:val="ListParagraph"/>
        <w:numPr>
          <w:ilvl w:val="0"/>
          <w:numId w:val="12"/>
        </w:numPr>
        <w:spacing w:before="120" w:after="120" w:line="276" w:lineRule="auto"/>
        <w:ind w:left="1166"/>
        <w:jc w:val="both"/>
        <w:rPr>
          <w:rFonts w:eastAsia="Calibri" w:cs="Arial"/>
          <w:noProof/>
          <w:sz w:val="20"/>
          <w:szCs w:val="20"/>
        </w:rPr>
      </w:pPr>
      <w:r w:rsidRPr="00D150D4">
        <w:rPr>
          <w:rFonts w:eastAsia="Calibri" w:cs="Arial"/>
          <w:noProof/>
          <w:sz w:val="20"/>
          <w:szCs w:val="20"/>
        </w:rPr>
        <w:t>New intelligence regarding doping strategies that may have been carried out by applicable athletes</w:t>
      </w:r>
      <w:r w:rsidR="001D02C4">
        <w:rPr>
          <w:rFonts w:eastAsia="Calibri" w:cs="Arial"/>
          <w:noProof/>
          <w:sz w:val="20"/>
          <w:szCs w:val="20"/>
        </w:rPr>
        <w:t>.</w:t>
      </w:r>
    </w:p>
    <w:p w14:paraId="32C0606F" w14:textId="77777777" w:rsidR="001D02C4" w:rsidRPr="00D150D4" w:rsidRDefault="001D02C4" w:rsidP="001D02C4">
      <w:pPr>
        <w:pStyle w:val="ListParagraph"/>
        <w:numPr>
          <w:ilvl w:val="0"/>
          <w:numId w:val="0"/>
        </w:numPr>
        <w:spacing w:before="120" w:after="120" w:line="276" w:lineRule="auto"/>
        <w:ind w:left="1166"/>
        <w:jc w:val="both"/>
        <w:rPr>
          <w:rFonts w:eastAsia="Calibri" w:cs="Arial"/>
          <w:noProof/>
          <w:sz w:val="20"/>
          <w:szCs w:val="20"/>
        </w:rPr>
      </w:pPr>
    </w:p>
    <w:p w14:paraId="56430DA0" w14:textId="28343722" w:rsidR="00D150D4" w:rsidRDefault="00D150D4" w:rsidP="00D508DB">
      <w:pPr>
        <w:pStyle w:val="ListParagraph"/>
        <w:numPr>
          <w:ilvl w:val="0"/>
          <w:numId w:val="12"/>
        </w:numPr>
        <w:spacing w:before="120" w:after="120" w:line="276" w:lineRule="auto"/>
        <w:ind w:left="1166"/>
        <w:jc w:val="both"/>
        <w:rPr>
          <w:rFonts w:eastAsia="Calibri" w:cs="Arial"/>
          <w:noProof/>
          <w:sz w:val="20"/>
          <w:szCs w:val="20"/>
        </w:rPr>
      </w:pPr>
      <w:r w:rsidRPr="00D150D4">
        <w:rPr>
          <w:rFonts w:eastAsia="Calibri" w:cs="Arial"/>
          <w:noProof/>
          <w:sz w:val="20"/>
          <w:szCs w:val="20"/>
        </w:rPr>
        <w:t>Samples that could be kept for reference DNA analysis.</w:t>
      </w:r>
    </w:p>
    <w:p w14:paraId="7633EB64" w14:textId="77777777" w:rsidR="001D02C4" w:rsidRPr="00D150D4" w:rsidRDefault="001D02C4" w:rsidP="001D02C4">
      <w:pPr>
        <w:pStyle w:val="ListParagraph"/>
        <w:numPr>
          <w:ilvl w:val="0"/>
          <w:numId w:val="0"/>
        </w:numPr>
        <w:spacing w:before="120" w:after="120" w:line="276" w:lineRule="auto"/>
        <w:ind w:left="1166"/>
        <w:jc w:val="both"/>
        <w:rPr>
          <w:rFonts w:eastAsia="Calibri" w:cs="Arial"/>
          <w:noProof/>
          <w:sz w:val="20"/>
          <w:szCs w:val="20"/>
        </w:rPr>
      </w:pPr>
    </w:p>
    <w:p w14:paraId="656EA9BC" w14:textId="3DE833AA" w:rsidR="00D150D4" w:rsidRPr="00D150D4" w:rsidRDefault="00D150D4" w:rsidP="00D508DB">
      <w:pPr>
        <w:pStyle w:val="ListParagraph"/>
        <w:numPr>
          <w:ilvl w:val="0"/>
          <w:numId w:val="12"/>
        </w:numPr>
        <w:spacing w:before="120" w:after="120" w:line="276" w:lineRule="auto"/>
        <w:ind w:left="1166"/>
        <w:jc w:val="both"/>
        <w:rPr>
          <w:rFonts w:eastAsia="Calibri" w:cs="Arial"/>
          <w:noProof/>
          <w:sz w:val="20"/>
          <w:szCs w:val="20"/>
        </w:rPr>
      </w:pPr>
      <w:r w:rsidRPr="00D150D4">
        <w:rPr>
          <w:rFonts w:eastAsia="Calibri" w:cs="Arial"/>
          <w:b/>
          <w:bCs/>
          <w:noProof/>
          <w:sz w:val="20"/>
          <w:szCs w:val="20"/>
          <w:highlight w:val="darkGray"/>
        </w:rPr>
        <w:t>[Samples collected for sports which have a higher risk of doping with particular substances or methods such as narrow detection windows (e.g.</w:t>
      </w:r>
      <w:r w:rsidR="006B2897">
        <w:rPr>
          <w:rFonts w:eastAsia="Calibri" w:cs="Arial"/>
          <w:b/>
          <w:bCs/>
          <w:noProof/>
          <w:sz w:val="20"/>
          <w:szCs w:val="20"/>
          <w:highlight w:val="darkGray"/>
        </w:rPr>
        <w:t>,</w:t>
      </w:r>
      <w:r w:rsidRPr="00D150D4">
        <w:rPr>
          <w:rFonts w:eastAsia="Calibri" w:cs="Arial"/>
          <w:b/>
          <w:bCs/>
          <w:noProof/>
          <w:sz w:val="20"/>
          <w:szCs w:val="20"/>
          <w:highlight w:val="darkGray"/>
        </w:rPr>
        <w:t xml:space="preserve"> EPOs)]</w:t>
      </w:r>
      <w:r w:rsidRPr="00D150D4">
        <w:rPr>
          <w:rFonts w:eastAsia="Calibri" w:cs="Arial"/>
          <w:noProof/>
          <w:sz w:val="20"/>
          <w:szCs w:val="20"/>
        </w:rPr>
        <w:t>.</w:t>
      </w:r>
    </w:p>
    <w:p w14:paraId="61727FBD" w14:textId="77777777" w:rsidR="00D150D4" w:rsidRPr="00D150D4" w:rsidRDefault="00D150D4" w:rsidP="00D150D4">
      <w:pPr>
        <w:spacing w:line="276" w:lineRule="auto"/>
        <w:ind w:left="450"/>
        <w:jc w:val="both"/>
        <w:rPr>
          <w:rFonts w:eastAsia="Calibri" w:cs="Arial"/>
          <w:noProof/>
          <w:sz w:val="20"/>
          <w:szCs w:val="20"/>
        </w:rPr>
      </w:pPr>
    </w:p>
    <w:p w14:paraId="25F84251" w14:textId="7F73E9D7" w:rsidR="006B2897" w:rsidRDefault="006B2897" w:rsidP="00D508DB">
      <w:pPr>
        <w:pStyle w:val="ListParagraph"/>
        <w:numPr>
          <w:ilvl w:val="0"/>
          <w:numId w:val="10"/>
        </w:numPr>
        <w:spacing w:line="276" w:lineRule="auto"/>
        <w:jc w:val="both"/>
        <w:rPr>
          <w:rFonts w:ascii="Arial Black" w:eastAsia="Calibri" w:hAnsi="Arial Black" w:cs="Arial"/>
          <w:b/>
          <w:bCs/>
          <w:noProof/>
          <w:sz w:val="20"/>
          <w:szCs w:val="20"/>
        </w:rPr>
      </w:pPr>
      <w:r>
        <w:rPr>
          <w:rFonts w:ascii="Arial Black" w:eastAsia="Calibri" w:hAnsi="Arial Black" w:cs="Arial"/>
          <w:b/>
          <w:bCs/>
          <w:noProof/>
          <w:sz w:val="20"/>
          <w:szCs w:val="20"/>
        </w:rPr>
        <w:t>Any other information made available to [ADO]</w:t>
      </w:r>
    </w:p>
    <w:p w14:paraId="1CDED54B" w14:textId="13198FA9" w:rsidR="006B2897" w:rsidRDefault="006B2897" w:rsidP="006B2897">
      <w:pPr>
        <w:spacing w:line="276" w:lineRule="auto"/>
        <w:jc w:val="both"/>
        <w:rPr>
          <w:rFonts w:ascii="Arial Black" w:eastAsia="Calibri" w:hAnsi="Arial Black" w:cs="Arial"/>
          <w:b/>
          <w:bCs/>
          <w:noProof/>
          <w:sz w:val="20"/>
          <w:szCs w:val="20"/>
        </w:rPr>
      </w:pPr>
    </w:p>
    <w:p w14:paraId="56A90B67" w14:textId="7097FA07" w:rsidR="006B2897" w:rsidRPr="003D40BB" w:rsidRDefault="006B2897" w:rsidP="006B2897">
      <w:pPr>
        <w:pStyle w:val="ListParagraph"/>
        <w:numPr>
          <w:ilvl w:val="0"/>
          <w:numId w:val="16"/>
        </w:numPr>
        <w:spacing w:line="276" w:lineRule="auto"/>
        <w:ind w:left="1170"/>
        <w:jc w:val="both"/>
        <w:rPr>
          <w:rFonts w:asciiTheme="minorHAnsi" w:eastAsia="Calibri" w:hAnsiTheme="minorHAnsi" w:cstheme="minorHAnsi"/>
          <w:b/>
          <w:bCs/>
          <w:noProof/>
          <w:sz w:val="20"/>
          <w:szCs w:val="20"/>
          <w:highlight w:val="darkGray"/>
        </w:rPr>
      </w:pPr>
      <w:r w:rsidRPr="003D40BB">
        <w:rPr>
          <w:rFonts w:asciiTheme="minorHAnsi" w:eastAsia="Calibri" w:hAnsiTheme="minorHAnsi" w:cstheme="minorHAnsi"/>
          <w:b/>
          <w:bCs/>
          <w:noProof/>
          <w:sz w:val="20"/>
          <w:szCs w:val="20"/>
          <w:highlight w:val="darkGray"/>
        </w:rPr>
        <w:t>[Consider any other information you may have that could justify long-term storage]</w:t>
      </w:r>
    </w:p>
    <w:p w14:paraId="01D016DC" w14:textId="77777777" w:rsidR="006B2897" w:rsidRDefault="006B2897" w:rsidP="006B2897">
      <w:pPr>
        <w:spacing w:line="276" w:lineRule="auto"/>
        <w:jc w:val="both"/>
        <w:rPr>
          <w:rFonts w:ascii="Arial Black" w:eastAsia="Calibri" w:hAnsi="Arial Black" w:cs="Arial"/>
          <w:b/>
          <w:bCs/>
          <w:noProof/>
          <w:sz w:val="20"/>
          <w:szCs w:val="20"/>
        </w:rPr>
      </w:pPr>
    </w:p>
    <w:p w14:paraId="009B6BD4" w14:textId="0362D69E" w:rsidR="00D150D4" w:rsidRPr="003D40BB" w:rsidRDefault="00D150D4" w:rsidP="006B2897">
      <w:pPr>
        <w:spacing w:line="276" w:lineRule="auto"/>
        <w:jc w:val="both"/>
        <w:rPr>
          <w:rFonts w:ascii="Arial Black" w:eastAsia="Calibri" w:hAnsi="Arial Black" w:cs="Arial"/>
          <w:b/>
          <w:bCs/>
          <w:noProof/>
          <w:color w:val="0070C0"/>
          <w:sz w:val="20"/>
          <w:szCs w:val="20"/>
        </w:rPr>
      </w:pPr>
      <w:r w:rsidRPr="003D40BB">
        <w:rPr>
          <w:rFonts w:ascii="Arial Black" w:eastAsia="Calibri" w:hAnsi="Arial Black" w:cs="Arial"/>
          <w:b/>
          <w:bCs/>
          <w:noProof/>
          <w:color w:val="0070C0"/>
          <w:sz w:val="20"/>
          <w:szCs w:val="20"/>
        </w:rPr>
        <w:t>Cooperation with other ADOs</w:t>
      </w:r>
    </w:p>
    <w:p w14:paraId="7C71F64C" w14:textId="27513D67" w:rsidR="00D150D4" w:rsidRDefault="00D150D4" w:rsidP="006B2897">
      <w:pPr>
        <w:spacing w:line="276" w:lineRule="auto"/>
        <w:jc w:val="both"/>
        <w:rPr>
          <w:rFonts w:eastAsia="Calibri" w:cs="Arial"/>
          <w:noProof/>
          <w:sz w:val="20"/>
          <w:szCs w:val="20"/>
        </w:rPr>
      </w:pPr>
      <w:r w:rsidRPr="00D150D4">
        <w:rPr>
          <w:rFonts w:eastAsia="Calibri" w:cs="Arial"/>
          <w:noProof/>
          <w:sz w:val="20"/>
          <w:szCs w:val="20"/>
        </w:rPr>
        <w:t xml:space="preserve">As relevant, </w:t>
      </w:r>
      <w:r w:rsidRPr="001D02C4">
        <w:rPr>
          <w:rFonts w:eastAsia="Calibri" w:cs="Arial"/>
          <w:b/>
          <w:bCs/>
          <w:noProof/>
          <w:sz w:val="20"/>
          <w:szCs w:val="20"/>
          <w:highlight w:val="darkGray"/>
        </w:rPr>
        <w:t>[ADO]</w:t>
      </w:r>
      <w:r w:rsidRPr="00D150D4">
        <w:rPr>
          <w:rFonts w:eastAsia="Calibri" w:cs="Arial"/>
          <w:noProof/>
          <w:sz w:val="20"/>
          <w:szCs w:val="20"/>
        </w:rPr>
        <w:t xml:space="preserve"> will discuss its retention plan with other ADOs that may have jurisdiction over the same athlete and that may be also storing samples from the same athletes, to ensure that no more than the necessary number of samples are retained for the same athlete.</w:t>
      </w:r>
    </w:p>
    <w:p w14:paraId="72AD6C09" w14:textId="02168A63" w:rsidR="001D02C4" w:rsidRDefault="001D02C4" w:rsidP="00D150D4">
      <w:pPr>
        <w:spacing w:line="276" w:lineRule="auto"/>
        <w:ind w:left="450"/>
        <w:jc w:val="both"/>
        <w:rPr>
          <w:rFonts w:eastAsia="Calibri" w:cs="Arial"/>
          <w:noProof/>
          <w:sz w:val="20"/>
          <w:szCs w:val="20"/>
        </w:rPr>
      </w:pPr>
    </w:p>
    <w:p w14:paraId="607099D4" w14:textId="77777777" w:rsidR="001D02C4" w:rsidRDefault="001D02C4">
      <w:pPr>
        <w:spacing w:after="160"/>
        <w:rPr>
          <w:rFonts w:eastAsia="Calibri" w:cs="Arial"/>
          <w:b/>
          <w:noProof/>
          <w:color w:val="0071BC"/>
          <w:sz w:val="24"/>
          <w:szCs w:val="24"/>
        </w:rPr>
      </w:pPr>
      <w:r>
        <w:rPr>
          <w:rFonts w:eastAsia="Calibri" w:cs="Arial"/>
          <w:b/>
          <w:noProof/>
          <w:color w:val="0071BC"/>
          <w:sz w:val="24"/>
          <w:szCs w:val="24"/>
        </w:rPr>
        <w:br w:type="page"/>
      </w:r>
    </w:p>
    <w:p w14:paraId="35C7A7D8" w14:textId="425560D5" w:rsidR="001D02C4" w:rsidRDefault="001D02C4" w:rsidP="00D150D4">
      <w:pPr>
        <w:spacing w:line="276" w:lineRule="auto"/>
        <w:ind w:left="450"/>
        <w:jc w:val="both"/>
        <w:rPr>
          <w:rFonts w:eastAsia="Calibri" w:cs="Arial"/>
          <w:b/>
          <w:noProof/>
          <w:color w:val="0071BC"/>
          <w:sz w:val="24"/>
          <w:szCs w:val="24"/>
        </w:rPr>
      </w:pPr>
      <w:r w:rsidRPr="001D02C4">
        <w:rPr>
          <w:rFonts w:eastAsia="Calibri" w:cs="Arial"/>
          <w:b/>
          <w:noProof/>
          <w:color w:val="0071BC"/>
          <w:sz w:val="24"/>
          <w:szCs w:val="24"/>
        </w:rPr>
        <w:lastRenderedPageBreak/>
        <w:t>Further Analysis Strategy</w:t>
      </w:r>
    </w:p>
    <w:p w14:paraId="1732FAEA" w14:textId="77777777" w:rsidR="001D02C4" w:rsidRPr="001D02C4" w:rsidRDefault="001D02C4" w:rsidP="001D02C4">
      <w:pPr>
        <w:pStyle w:val="NoSpacing"/>
        <w:spacing w:before="120" w:line="276" w:lineRule="auto"/>
        <w:ind w:left="446"/>
        <w:jc w:val="both"/>
      </w:pPr>
      <w:r w:rsidRPr="001D02C4">
        <w:rPr>
          <w:rFonts w:eastAsia="Times New Roman"/>
          <w:szCs w:val="20"/>
        </w:rPr>
        <w:t>Further analysis of samples shall be performed under the ISL, Technical Documents Letters, and Laboratories Guidelines in effect at the time the further analysis is performed.</w:t>
      </w:r>
    </w:p>
    <w:p w14:paraId="19D09E47" w14:textId="77777777" w:rsidR="001D02C4" w:rsidRPr="001D02C4" w:rsidRDefault="001D02C4" w:rsidP="001D02C4">
      <w:pPr>
        <w:pStyle w:val="NoSpacing"/>
        <w:spacing w:line="276" w:lineRule="auto"/>
        <w:ind w:left="450"/>
        <w:jc w:val="both"/>
        <w:rPr>
          <w:i/>
        </w:rPr>
      </w:pPr>
    </w:p>
    <w:p w14:paraId="7354D744" w14:textId="77777777" w:rsidR="001D02C4" w:rsidRPr="003D40BB" w:rsidRDefault="001D02C4" w:rsidP="00D508DB">
      <w:pPr>
        <w:pStyle w:val="ListParagraph"/>
        <w:numPr>
          <w:ilvl w:val="0"/>
          <w:numId w:val="14"/>
        </w:numPr>
        <w:spacing w:line="276" w:lineRule="auto"/>
        <w:jc w:val="both"/>
        <w:rPr>
          <w:rFonts w:ascii="Arial Black" w:hAnsi="Arial Black"/>
          <w:b/>
          <w:bCs/>
          <w:iCs/>
          <w:sz w:val="20"/>
          <w:szCs w:val="20"/>
        </w:rPr>
      </w:pPr>
      <w:r w:rsidRPr="003D40BB">
        <w:rPr>
          <w:rFonts w:ascii="Arial Black" w:hAnsi="Arial Black"/>
          <w:b/>
          <w:bCs/>
          <w:iCs/>
          <w:sz w:val="20"/>
          <w:szCs w:val="20"/>
        </w:rPr>
        <w:t xml:space="preserve">Reviewing stored samples </w:t>
      </w:r>
    </w:p>
    <w:p w14:paraId="18D344DD" w14:textId="77777777" w:rsidR="001D02C4" w:rsidRPr="001D02C4" w:rsidRDefault="001D02C4" w:rsidP="001D02C4">
      <w:pPr>
        <w:pStyle w:val="NoSpacing"/>
        <w:spacing w:line="276" w:lineRule="auto"/>
        <w:ind w:left="450"/>
        <w:jc w:val="both"/>
        <w:rPr>
          <w:iCs/>
          <w:lang w:val="en-CA"/>
        </w:rPr>
      </w:pPr>
    </w:p>
    <w:p w14:paraId="7C05A12E" w14:textId="77777777" w:rsidR="001D02C4" w:rsidRPr="001D02C4" w:rsidRDefault="001D02C4" w:rsidP="001D02C4">
      <w:pPr>
        <w:pStyle w:val="NoSpacing"/>
        <w:spacing w:line="276" w:lineRule="auto"/>
        <w:ind w:left="450"/>
        <w:jc w:val="both"/>
        <w:rPr>
          <w:rFonts w:eastAsia="Times New Roman"/>
          <w:szCs w:val="20"/>
        </w:rPr>
      </w:pPr>
      <w:r w:rsidRPr="001D02C4">
        <w:rPr>
          <w:iCs/>
          <w:lang w:val="en-CA"/>
        </w:rPr>
        <w:t xml:space="preserve">In cooperation with laboratories and its APMU, </w:t>
      </w:r>
      <w:r w:rsidRPr="001D02C4">
        <w:rPr>
          <w:b/>
          <w:bCs/>
          <w:iCs/>
          <w:highlight w:val="darkGray"/>
          <w:lang w:val="en-CA"/>
        </w:rPr>
        <w:t>[ADO]</w:t>
      </w:r>
      <w:r w:rsidRPr="001D02C4">
        <w:rPr>
          <w:iCs/>
          <w:lang w:val="en-CA"/>
        </w:rPr>
        <w:t xml:space="preserve"> shall conduct a regular </w:t>
      </w:r>
      <w:r w:rsidRPr="001D02C4">
        <w:rPr>
          <w:b/>
          <w:bCs/>
          <w:i/>
          <w:highlight w:val="darkGray"/>
          <w:lang w:val="en-CA"/>
        </w:rPr>
        <w:t>[annual]</w:t>
      </w:r>
      <w:r w:rsidRPr="001D02C4">
        <w:rPr>
          <w:i/>
          <w:lang w:val="en-CA"/>
        </w:rPr>
        <w:t xml:space="preserve"> </w:t>
      </w:r>
      <w:r w:rsidRPr="001D02C4">
        <w:rPr>
          <w:b/>
          <w:bCs/>
          <w:i/>
          <w:highlight w:val="darkGray"/>
          <w:lang w:val="en-CA"/>
        </w:rPr>
        <w:t>[other time period]</w:t>
      </w:r>
      <w:r w:rsidRPr="001D02C4">
        <w:rPr>
          <w:iCs/>
          <w:lang w:val="en-CA"/>
        </w:rPr>
        <w:t xml:space="preserve"> review of its stored samples and analysis already conducted, together with relating athletes samples records available into ADAMS from tests conducted by </w:t>
      </w:r>
      <w:r w:rsidRPr="001D02C4">
        <w:rPr>
          <w:b/>
          <w:bCs/>
          <w:iCs/>
          <w:highlight w:val="darkGray"/>
          <w:lang w:val="en-CA"/>
        </w:rPr>
        <w:t>[ADO]</w:t>
      </w:r>
      <w:r w:rsidRPr="001D02C4">
        <w:rPr>
          <w:iCs/>
          <w:lang w:val="en-CA"/>
        </w:rPr>
        <w:t xml:space="preserve"> or any other ADO with testing authority,</w:t>
      </w:r>
      <w:r w:rsidRPr="001D02C4">
        <w:rPr>
          <w:iCs/>
        </w:rPr>
        <w:t xml:space="preserve"> in order to identify opportunities to conduct further analysis</w:t>
      </w:r>
      <w:r w:rsidRPr="001D02C4">
        <w:rPr>
          <w:i/>
        </w:rPr>
        <w:t>.</w:t>
      </w:r>
      <w:r w:rsidRPr="001D02C4">
        <w:rPr>
          <w:rFonts w:eastAsia="Times New Roman"/>
          <w:szCs w:val="20"/>
        </w:rPr>
        <w:t xml:space="preserve"> </w:t>
      </w:r>
    </w:p>
    <w:p w14:paraId="7F056C2D" w14:textId="77777777" w:rsidR="001D02C4" w:rsidRPr="001D02C4" w:rsidRDefault="001D02C4" w:rsidP="001D02C4">
      <w:pPr>
        <w:pStyle w:val="NoSpacing"/>
        <w:spacing w:line="276" w:lineRule="auto"/>
        <w:ind w:left="450"/>
        <w:jc w:val="both"/>
        <w:rPr>
          <w:i/>
        </w:rPr>
      </w:pPr>
    </w:p>
    <w:p w14:paraId="0E13EDF7" w14:textId="060EBFCB" w:rsidR="001D02C4" w:rsidRPr="001D02C4" w:rsidRDefault="001D02C4" w:rsidP="001D02C4">
      <w:pPr>
        <w:pStyle w:val="NoSpacing"/>
        <w:spacing w:line="276" w:lineRule="auto"/>
        <w:ind w:left="450"/>
        <w:jc w:val="both"/>
      </w:pPr>
      <w:r w:rsidRPr="001D02C4">
        <w:rPr>
          <w:iCs/>
        </w:rPr>
        <w:t xml:space="preserve">In conducting this review, </w:t>
      </w:r>
      <w:r w:rsidRPr="001D02C4">
        <w:rPr>
          <w:b/>
          <w:bCs/>
          <w:iCs/>
          <w:highlight w:val="darkGray"/>
          <w:lang w:val="en-CA"/>
        </w:rPr>
        <w:t>[ADO]</w:t>
      </w:r>
      <w:r w:rsidRPr="001D02C4">
        <w:rPr>
          <w:iCs/>
        </w:rPr>
        <w:t xml:space="preserve"> shall also consider opportunities to conduct further analysis on samples from athletes over which it has testing authority, stored by other ADOs that initiated and directed that samples collection.</w:t>
      </w:r>
      <w:r w:rsidRPr="001D02C4">
        <w:t xml:space="preserve"> </w:t>
      </w:r>
      <w:r w:rsidRPr="001D02C4">
        <w:rPr>
          <w:b/>
          <w:bCs/>
          <w:iCs/>
          <w:highlight w:val="darkGray"/>
          <w:lang w:val="en-CA"/>
        </w:rPr>
        <w:t>[ADO]</w:t>
      </w:r>
      <w:r w:rsidRPr="001D02C4">
        <w:t xml:space="preserve"> will also consider any other ADO’s with authority to test the athlete that wishes to conduct further analysis on an </w:t>
      </w:r>
      <w:r w:rsidRPr="001D02C4">
        <w:rPr>
          <w:b/>
          <w:bCs/>
          <w:iCs/>
          <w:highlight w:val="darkGray"/>
          <w:lang w:val="en-CA"/>
        </w:rPr>
        <w:t>[ADO]</w:t>
      </w:r>
      <w:r w:rsidRPr="001D02C4">
        <w:t>’s stored sample.</w:t>
      </w:r>
    </w:p>
    <w:p w14:paraId="2D9CDAB3" w14:textId="77777777" w:rsidR="001D02C4" w:rsidRPr="001D02C4" w:rsidRDefault="001D02C4" w:rsidP="001D02C4">
      <w:pPr>
        <w:pStyle w:val="NoSpacing"/>
        <w:spacing w:line="276" w:lineRule="auto"/>
        <w:ind w:left="450"/>
        <w:jc w:val="both"/>
      </w:pPr>
    </w:p>
    <w:p w14:paraId="757EC0D1" w14:textId="6E27F13E" w:rsidR="001D02C4" w:rsidRPr="001D02C4" w:rsidRDefault="001D02C4" w:rsidP="001D02C4">
      <w:pPr>
        <w:pStyle w:val="NoSpacing"/>
        <w:spacing w:line="276" w:lineRule="auto"/>
        <w:ind w:left="450"/>
        <w:jc w:val="both"/>
      </w:pPr>
      <w:r w:rsidRPr="001D02C4">
        <w:t xml:space="preserve">For each stored sample, at the conclusion of the regular review based on the decision-making process described below, </w:t>
      </w:r>
      <w:r w:rsidRPr="001D02C4">
        <w:rPr>
          <w:b/>
          <w:bCs/>
          <w:iCs/>
          <w:highlight w:val="darkGray"/>
          <w:lang w:val="en-CA"/>
        </w:rPr>
        <w:t>[ADO]</w:t>
      </w:r>
      <w:r w:rsidRPr="001D02C4">
        <w:t xml:space="preserve"> shall decide to either:</w:t>
      </w:r>
    </w:p>
    <w:p w14:paraId="1AB8102F" w14:textId="77777777" w:rsidR="001D02C4" w:rsidRPr="001D02C4" w:rsidRDefault="001D02C4" w:rsidP="00D508DB">
      <w:pPr>
        <w:pStyle w:val="NoSpacing"/>
        <w:numPr>
          <w:ilvl w:val="0"/>
          <w:numId w:val="15"/>
        </w:numPr>
        <w:spacing w:before="120" w:line="276" w:lineRule="auto"/>
        <w:ind w:left="1166"/>
        <w:jc w:val="both"/>
      </w:pPr>
      <w:r w:rsidRPr="001D02C4">
        <w:t>Discard it, or</w:t>
      </w:r>
    </w:p>
    <w:p w14:paraId="2251911A" w14:textId="6EC82540" w:rsidR="001D02C4" w:rsidRPr="001D02C4" w:rsidRDefault="001D02C4" w:rsidP="00D508DB">
      <w:pPr>
        <w:pStyle w:val="NoSpacing"/>
        <w:numPr>
          <w:ilvl w:val="0"/>
          <w:numId w:val="15"/>
        </w:numPr>
        <w:spacing w:before="120" w:line="276" w:lineRule="auto"/>
        <w:ind w:left="1166"/>
        <w:jc w:val="both"/>
      </w:pPr>
      <w:r w:rsidRPr="001D02C4">
        <w:t>Keep it further stored (i.e.</w:t>
      </w:r>
      <w:r w:rsidR="003D40BB">
        <w:t>,</w:t>
      </w:r>
      <w:r w:rsidRPr="001D02C4">
        <w:t xml:space="preserve"> before the 10-year period ends), or</w:t>
      </w:r>
    </w:p>
    <w:p w14:paraId="2E384480" w14:textId="77777777" w:rsidR="001D02C4" w:rsidRPr="001D02C4" w:rsidRDefault="001D02C4" w:rsidP="00D508DB">
      <w:pPr>
        <w:pStyle w:val="NoSpacing"/>
        <w:numPr>
          <w:ilvl w:val="0"/>
          <w:numId w:val="15"/>
        </w:numPr>
        <w:spacing w:before="120" w:line="276" w:lineRule="auto"/>
        <w:ind w:left="1166"/>
        <w:jc w:val="both"/>
      </w:pPr>
      <w:r w:rsidRPr="001D02C4">
        <w:t>Conduct a further analysis.</w:t>
      </w:r>
    </w:p>
    <w:p w14:paraId="3FA8A2DD" w14:textId="77777777" w:rsidR="001D02C4" w:rsidRPr="001D02C4" w:rsidRDefault="001D02C4" w:rsidP="001D02C4">
      <w:pPr>
        <w:pStyle w:val="NoSpacing"/>
        <w:spacing w:line="276" w:lineRule="auto"/>
        <w:ind w:left="450"/>
        <w:jc w:val="both"/>
        <w:rPr>
          <w:iCs/>
        </w:rPr>
      </w:pPr>
    </w:p>
    <w:p w14:paraId="437CD340" w14:textId="0F4A0C21" w:rsidR="001D02C4" w:rsidRPr="001D02C4" w:rsidRDefault="001D02C4" w:rsidP="001D02C4">
      <w:pPr>
        <w:pStyle w:val="NoSpacing"/>
        <w:spacing w:line="276" w:lineRule="auto"/>
        <w:ind w:left="450"/>
        <w:jc w:val="both"/>
        <w:rPr>
          <w:rFonts w:eastAsia="Times New Roman"/>
          <w:i/>
          <w:iCs/>
          <w:szCs w:val="20"/>
        </w:rPr>
      </w:pPr>
      <w:r w:rsidRPr="001D02C4">
        <w:rPr>
          <w:rFonts w:eastAsia="Times New Roman"/>
          <w:szCs w:val="20"/>
        </w:rPr>
        <w:t>During the period between regular reviews, the opportunity to further analyze stored samples will be continuously monitored on ad-hoc basis (e.g.</w:t>
      </w:r>
      <w:r w:rsidR="003D40BB">
        <w:rPr>
          <w:rFonts w:eastAsia="Times New Roman"/>
          <w:szCs w:val="20"/>
        </w:rPr>
        <w:t>,</w:t>
      </w:r>
      <w:r w:rsidRPr="001D02C4">
        <w:rPr>
          <w:rFonts w:eastAsia="Times New Roman"/>
          <w:szCs w:val="20"/>
        </w:rPr>
        <w:t xml:space="preserve"> if a new</w:t>
      </w:r>
      <w:r w:rsidRPr="001D02C4">
        <w:t xml:space="preserve"> analytical method and/or a new instrument with better sensitivity is available in a laboratory, ADAMS data monitoring, specific intelligence received about an athlete whom a sample is stored, need for reference DNA analysis in a manipulation case, etc</w:t>
      </w:r>
      <w:r w:rsidRPr="001D02C4">
        <w:rPr>
          <w:rFonts w:eastAsia="Times New Roman"/>
          <w:szCs w:val="20"/>
        </w:rPr>
        <w:t xml:space="preserve">.). </w:t>
      </w:r>
    </w:p>
    <w:p w14:paraId="26C1055C" w14:textId="77777777" w:rsidR="001D02C4" w:rsidRPr="001D02C4" w:rsidRDefault="001D02C4" w:rsidP="001D02C4">
      <w:pPr>
        <w:pStyle w:val="NoSpacing"/>
        <w:spacing w:line="276" w:lineRule="auto"/>
        <w:ind w:left="450"/>
        <w:jc w:val="both"/>
        <w:rPr>
          <w:iCs/>
        </w:rPr>
      </w:pPr>
    </w:p>
    <w:p w14:paraId="55F75C5C" w14:textId="77777777" w:rsidR="001D02C4" w:rsidRPr="001D02C4" w:rsidRDefault="001D02C4" w:rsidP="001D02C4">
      <w:pPr>
        <w:pStyle w:val="NoSpacing"/>
        <w:spacing w:line="276" w:lineRule="auto"/>
        <w:ind w:left="450"/>
        <w:jc w:val="both"/>
        <w:rPr>
          <w:rFonts w:eastAsia="Times New Roman"/>
          <w:szCs w:val="20"/>
        </w:rPr>
      </w:pPr>
      <w:r w:rsidRPr="001D02C4">
        <w:rPr>
          <w:iCs/>
        </w:rPr>
        <w:t>In any case, at the end of 10-year storage period, st</w:t>
      </w:r>
      <w:r w:rsidRPr="001D02C4">
        <w:rPr>
          <w:rFonts w:eastAsia="Times New Roman"/>
          <w:szCs w:val="20"/>
        </w:rPr>
        <w:t>ored samples shall either be discarded or made anonymous and used for research as provided in the ISL.</w:t>
      </w:r>
    </w:p>
    <w:p w14:paraId="0D9F0945" w14:textId="77777777" w:rsidR="001D02C4" w:rsidRPr="001D02C4" w:rsidRDefault="001D02C4" w:rsidP="001D02C4">
      <w:pPr>
        <w:pStyle w:val="NoSpacing"/>
        <w:spacing w:line="276" w:lineRule="auto"/>
        <w:ind w:left="450"/>
        <w:jc w:val="both"/>
        <w:rPr>
          <w:rFonts w:eastAsia="Times New Roman"/>
          <w:szCs w:val="20"/>
        </w:rPr>
      </w:pPr>
    </w:p>
    <w:p w14:paraId="2933595C" w14:textId="77777777" w:rsidR="001D02C4" w:rsidRPr="003D40BB" w:rsidRDefault="001D02C4" w:rsidP="00D508DB">
      <w:pPr>
        <w:pStyle w:val="ListParagraph"/>
        <w:numPr>
          <w:ilvl w:val="0"/>
          <w:numId w:val="14"/>
        </w:numPr>
        <w:spacing w:line="276" w:lineRule="auto"/>
        <w:jc w:val="both"/>
        <w:rPr>
          <w:rFonts w:ascii="Arial Black" w:hAnsi="Arial Black"/>
          <w:b/>
          <w:bCs/>
          <w:sz w:val="20"/>
          <w:szCs w:val="20"/>
        </w:rPr>
      </w:pPr>
      <w:r w:rsidRPr="003D40BB">
        <w:rPr>
          <w:rFonts w:ascii="Arial Black" w:hAnsi="Arial Black"/>
          <w:b/>
          <w:bCs/>
          <w:sz w:val="20"/>
          <w:szCs w:val="20"/>
        </w:rPr>
        <w:t>Decision-making process</w:t>
      </w:r>
    </w:p>
    <w:p w14:paraId="31F7E83A" w14:textId="77777777" w:rsidR="001D02C4" w:rsidRPr="001D02C4" w:rsidRDefault="001D02C4" w:rsidP="001D02C4">
      <w:pPr>
        <w:pStyle w:val="NoSpacing"/>
        <w:spacing w:line="276" w:lineRule="auto"/>
        <w:ind w:left="450"/>
        <w:jc w:val="both"/>
      </w:pPr>
    </w:p>
    <w:p w14:paraId="0E94CFB1" w14:textId="77777777" w:rsidR="001D02C4" w:rsidRPr="001D02C4" w:rsidRDefault="001D02C4" w:rsidP="001D02C4">
      <w:pPr>
        <w:pStyle w:val="NoSpacing"/>
        <w:spacing w:line="276" w:lineRule="auto"/>
        <w:ind w:left="450"/>
        <w:jc w:val="both"/>
      </w:pPr>
      <w:r w:rsidRPr="001D02C4">
        <w:t>The decision on the outcomes of the above review, including whether to proceed with further analysis, shall be based, without limitation, on the following criteria:</w:t>
      </w:r>
    </w:p>
    <w:p w14:paraId="7DF06BE0" w14:textId="77777777" w:rsidR="001D02C4" w:rsidRPr="001D02C4" w:rsidRDefault="001D02C4" w:rsidP="001D02C4">
      <w:pPr>
        <w:pStyle w:val="NoSpacing"/>
        <w:spacing w:line="276" w:lineRule="auto"/>
        <w:ind w:left="450"/>
        <w:jc w:val="both"/>
      </w:pPr>
    </w:p>
    <w:p w14:paraId="0B676185" w14:textId="23113C87" w:rsidR="001D02C4" w:rsidRPr="001D02C4" w:rsidRDefault="001D02C4" w:rsidP="00D508DB">
      <w:pPr>
        <w:pStyle w:val="NoSpacing"/>
        <w:numPr>
          <w:ilvl w:val="0"/>
          <w:numId w:val="15"/>
        </w:numPr>
        <w:spacing w:before="120" w:line="276" w:lineRule="auto"/>
        <w:ind w:left="1166"/>
        <w:jc w:val="both"/>
      </w:pPr>
      <w:r w:rsidRPr="001D02C4">
        <w:t xml:space="preserve">Athletes’ </w:t>
      </w:r>
      <w:r w:rsidR="00087B4F">
        <w:t xml:space="preserve">current </w:t>
      </w:r>
      <w:r w:rsidRPr="001D02C4">
        <w:t>situation in their career path (e.g.</w:t>
      </w:r>
      <w:r w:rsidR="003D40BB">
        <w:t>,</w:t>
      </w:r>
      <w:r w:rsidRPr="001D02C4">
        <w:t xml:space="preserve"> age, active or retired, performance level</w:t>
      </w:r>
      <w:proofErr w:type="gramStart"/>
      <w:r w:rsidRPr="001D02C4">
        <w:t>)</w:t>
      </w:r>
      <w:r w:rsidR="003D40BB">
        <w:t>;</w:t>
      </w:r>
      <w:proofErr w:type="gramEnd"/>
      <w:r w:rsidR="003D40BB">
        <w:t xml:space="preserve"> </w:t>
      </w:r>
    </w:p>
    <w:p w14:paraId="1814E996" w14:textId="622210C0" w:rsidR="001D02C4" w:rsidRPr="001D02C4" w:rsidRDefault="001D02C4" w:rsidP="00D508DB">
      <w:pPr>
        <w:pStyle w:val="NoSpacing"/>
        <w:numPr>
          <w:ilvl w:val="0"/>
          <w:numId w:val="15"/>
        </w:numPr>
        <w:spacing w:before="120" w:line="276" w:lineRule="auto"/>
        <w:ind w:left="1166"/>
        <w:jc w:val="both"/>
      </w:pPr>
      <w:r w:rsidRPr="001D02C4">
        <w:t>Intelligence received (e.g</w:t>
      </w:r>
      <w:r w:rsidR="003D40BB">
        <w:t>.,</w:t>
      </w:r>
      <w:r w:rsidRPr="001D02C4">
        <w:t xml:space="preserve"> from </w:t>
      </w:r>
      <w:r w:rsidRPr="001D02C4">
        <w:rPr>
          <w:b/>
          <w:bCs/>
          <w:highlight w:val="darkGray"/>
        </w:rPr>
        <w:t>[ADO]</w:t>
      </w:r>
      <w:r w:rsidRPr="001D02C4">
        <w:t xml:space="preserve">’s whistleblower program) and/or outcomes of investigations for a particular </w:t>
      </w:r>
      <w:proofErr w:type="gramStart"/>
      <w:r w:rsidRPr="001D02C4">
        <w:t>athlete</w:t>
      </w:r>
      <w:r w:rsidR="003D40BB">
        <w:t>;</w:t>
      </w:r>
      <w:proofErr w:type="gramEnd"/>
      <w:r w:rsidR="003D40BB">
        <w:t xml:space="preserve"> </w:t>
      </w:r>
    </w:p>
    <w:p w14:paraId="7551D0CB" w14:textId="4B9B4C4F" w:rsidR="001D02C4" w:rsidRPr="001D02C4" w:rsidRDefault="001D02C4" w:rsidP="00D508DB">
      <w:pPr>
        <w:pStyle w:val="NoSpacing"/>
        <w:numPr>
          <w:ilvl w:val="0"/>
          <w:numId w:val="15"/>
        </w:numPr>
        <w:spacing w:before="120" w:line="276" w:lineRule="auto"/>
        <w:ind w:left="1166"/>
        <w:jc w:val="both"/>
      </w:pPr>
      <w:r w:rsidRPr="001D02C4">
        <w:lastRenderedPageBreak/>
        <w:t xml:space="preserve">Upcoming major events in which athletes will </w:t>
      </w:r>
      <w:proofErr w:type="gramStart"/>
      <w:r w:rsidRPr="001D02C4">
        <w:t>participate</w:t>
      </w:r>
      <w:r w:rsidR="003D40BB">
        <w:t>;</w:t>
      </w:r>
      <w:proofErr w:type="gramEnd"/>
      <w:r w:rsidR="003D40BB">
        <w:t xml:space="preserve"> </w:t>
      </w:r>
      <w:r w:rsidRPr="001D02C4">
        <w:t xml:space="preserve"> </w:t>
      </w:r>
    </w:p>
    <w:p w14:paraId="5EC3E984" w14:textId="52751A7B" w:rsidR="001D02C4" w:rsidRPr="001D02C4" w:rsidRDefault="001D02C4" w:rsidP="00D508DB">
      <w:pPr>
        <w:pStyle w:val="NoSpacing"/>
        <w:numPr>
          <w:ilvl w:val="0"/>
          <w:numId w:val="15"/>
        </w:numPr>
        <w:spacing w:before="120" w:line="276" w:lineRule="auto"/>
        <w:ind w:left="1166"/>
        <w:jc w:val="both"/>
      </w:pPr>
      <w:r w:rsidRPr="001D02C4">
        <w:t>Timelines for statutes of limitation (including, for analysis closer to the end of the 10-year period, consideration for potential delays in the result management process (e.g.</w:t>
      </w:r>
      <w:r w:rsidR="003D40BB">
        <w:t>,</w:t>
      </w:r>
      <w:r w:rsidRPr="001D02C4">
        <w:t xml:space="preserve"> B sample analysis, athletes delaying the process, etc</w:t>
      </w:r>
      <w:r w:rsidR="003D40BB">
        <w:t>.</w:t>
      </w:r>
      <w:proofErr w:type="gramStart"/>
      <w:r w:rsidRPr="001D02C4">
        <w:t>);</w:t>
      </w:r>
      <w:proofErr w:type="gramEnd"/>
      <w:r w:rsidRPr="001D02C4">
        <w:t xml:space="preserve"> </w:t>
      </w:r>
    </w:p>
    <w:p w14:paraId="1CE24AD7" w14:textId="55807916" w:rsidR="001D02C4" w:rsidRPr="001D02C4" w:rsidRDefault="001D02C4" w:rsidP="00D508DB">
      <w:pPr>
        <w:pStyle w:val="NoSpacing"/>
        <w:numPr>
          <w:ilvl w:val="0"/>
          <w:numId w:val="15"/>
        </w:numPr>
        <w:spacing w:before="120" w:line="276" w:lineRule="auto"/>
        <w:ind w:left="1166"/>
        <w:jc w:val="both"/>
        <w:rPr>
          <w:sz w:val="18"/>
        </w:rPr>
      </w:pPr>
      <w:r w:rsidRPr="001D02C4">
        <w:t xml:space="preserve">Intelligence received or research on doping trends and/or other </w:t>
      </w:r>
      <w:proofErr w:type="gramStart"/>
      <w:r w:rsidRPr="001D02C4">
        <w:t>factors</w:t>
      </w:r>
      <w:r w:rsidR="003D40BB">
        <w:t>;</w:t>
      </w:r>
      <w:proofErr w:type="gramEnd"/>
      <w:r w:rsidR="003D40BB">
        <w:t xml:space="preserve"> </w:t>
      </w:r>
    </w:p>
    <w:p w14:paraId="305DE470" w14:textId="77777777" w:rsidR="001D02C4" w:rsidRPr="001D02C4" w:rsidRDefault="001D02C4" w:rsidP="00D508DB">
      <w:pPr>
        <w:pStyle w:val="NoSpacing"/>
        <w:numPr>
          <w:ilvl w:val="0"/>
          <w:numId w:val="15"/>
        </w:numPr>
        <w:spacing w:before="120" w:line="276" w:lineRule="auto"/>
        <w:ind w:left="1166"/>
        <w:jc w:val="both"/>
      </w:pPr>
      <w:r w:rsidRPr="001D02C4">
        <w:t>Availability of the sample’s required documentation; and</w:t>
      </w:r>
    </w:p>
    <w:p w14:paraId="1D11575C" w14:textId="0B4DA9D1" w:rsidR="001D02C4" w:rsidRPr="001D02C4" w:rsidRDefault="001D02C4" w:rsidP="00D508DB">
      <w:pPr>
        <w:pStyle w:val="NoSpacing"/>
        <w:numPr>
          <w:ilvl w:val="0"/>
          <w:numId w:val="15"/>
        </w:numPr>
        <w:spacing w:before="120" w:line="276" w:lineRule="auto"/>
        <w:ind w:left="1166"/>
        <w:jc w:val="both"/>
      </w:pPr>
      <w:r w:rsidRPr="001D02C4">
        <w:t xml:space="preserve">Recommendations by WADA-Accredited laboratories and or </w:t>
      </w:r>
      <w:r w:rsidRPr="001D02C4">
        <w:rPr>
          <w:b/>
          <w:bCs/>
          <w:highlight w:val="darkGray"/>
        </w:rPr>
        <w:t>[ADO]</w:t>
      </w:r>
      <w:r w:rsidRPr="001D02C4">
        <w:t>’s APMU, such as:</w:t>
      </w:r>
    </w:p>
    <w:p w14:paraId="3D512084" w14:textId="77777777" w:rsidR="001D02C4" w:rsidRPr="001D02C4" w:rsidRDefault="001D02C4" w:rsidP="00D508DB">
      <w:pPr>
        <w:pStyle w:val="NoSpacing"/>
        <w:numPr>
          <w:ilvl w:val="1"/>
          <w:numId w:val="15"/>
        </w:numPr>
        <w:spacing w:before="120" w:line="276" w:lineRule="auto"/>
        <w:jc w:val="both"/>
      </w:pPr>
      <w:r w:rsidRPr="001D02C4">
        <w:t xml:space="preserve">ABP </w:t>
      </w:r>
      <w:proofErr w:type="gramStart"/>
      <w:r w:rsidRPr="001D02C4">
        <w:t>data;</w:t>
      </w:r>
      <w:proofErr w:type="gramEnd"/>
    </w:p>
    <w:p w14:paraId="6C59355A" w14:textId="494364F7" w:rsidR="001D02C4" w:rsidRPr="001D02C4" w:rsidRDefault="001D02C4" w:rsidP="00D508DB">
      <w:pPr>
        <w:pStyle w:val="NoSpacing"/>
        <w:numPr>
          <w:ilvl w:val="1"/>
          <w:numId w:val="15"/>
        </w:numPr>
        <w:spacing w:before="120" w:line="276" w:lineRule="auto"/>
        <w:jc w:val="both"/>
        <w:rPr>
          <w:iCs/>
        </w:rPr>
      </w:pPr>
      <w:r w:rsidRPr="001D02C4">
        <w:t xml:space="preserve">Newly available technologies, </w:t>
      </w:r>
      <w:proofErr w:type="gramStart"/>
      <w:r w:rsidRPr="001D02C4">
        <w:t>methodologies</w:t>
      </w:r>
      <w:proofErr w:type="gramEnd"/>
      <w:r w:rsidRPr="001D02C4">
        <w:t xml:space="preserve"> or significant improvements in either detection methods or sensitivity of equipment, for prohibited substance(s) or method(s) at high risk for </w:t>
      </w:r>
      <w:r w:rsidRPr="001D02C4">
        <w:rPr>
          <w:b/>
          <w:bCs/>
          <w:highlight w:val="darkGray"/>
        </w:rPr>
        <w:t>[ADO]</w:t>
      </w:r>
      <w:r w:rsidR="003D40BB">
        <w:rPr>
          <w:b/>
          <w:bCs/>
        </w:rPr>
        <w:t xml:space="preserve">; </w:t>
      </w:r>
      <w:r w:rsidR="003D40BB" w:rsidRPr="003D40BB">
        <w:t>and</w:t>
      </w:r>
    </w:p>
    <w:p w14:paraId="3560AFE3" w14:textId="120A60C9" w:rsidR="001D02C4" w:rsidRDefault="001D02C4" w:rsidP="00D508DB">
      <w:pPr>
        <w:pStyle w:val="NoSpacing"/>
        <w:numPr>
          <w:ilvl w:val="1"/>
          <w:numId w:val="15"/>
        </w:numPr>
        <w:spacing w:before="120" w:line="276" w:lineRule="auto"/>
        <w:jc w:val="both"/>
      </w:pPr>
      <w:r w:rsidRPr="001D02C4">
        <w:t>Sample’s technical and analytical conditions (sufficient sample volume, degradation over time, etc.).</w:t>
      </w:r>
    </w:p>
    <w:p w14:paraId="332FAD1A" w14:textId="77777777" w:rsidR="001D02C4" w:rsidRPr="001D02C4" w:rsidRDefault="001D02C4" w:rsidP="001D02C4">
      <w:pPr>
        <w:pStyle w:val="NoSpacing"/>
        <w:spacing w:before="120" w:line="276" w:lineRule="auto"/>
        <w:ind w:left="1530"/>
        <w:jc w:val="both"/>
      </w:pPr>
    </w:p>
    <w:p w14:paraId="4A271AE8" w14:textId="77777777" w:rsidR="001D02C4" w:rsidRPr="001D02C4" w:rsidRDefault="001D02C4" w:rsidP="00D508DB">
      <w:pPr>
        <w:pStyle w:val="ListParagraph"/>
        <w:numPr>
          <w:ilvl w:val="0"/>
          <w:numId w:val="14"/>
        </w:numPr>
        <w:spacing w:line="276" w:lineRule="auto"/>
        <w:jc w:val="both"/>
        <w:rPr>
          <w:rFonts w:ascii="Arial Black" w:hAnsi="Arial Black"/>
          <w:iCs/>
        </w:rPr>
      </w:pPr>
      <w:r w:rsidRPr="001D02C4">
        <w:rPr>
          <w:rFonts w:ascii="Arial Black" w:hAnsi="Arial Black"/>
          <w:iCs/>
        </w:rPr>
        <w:t>Substances to be considered for further analysis:</w:t>
      </w:r>
    </w:p>
    <w:p w14:paraId="59400B2C" w14:textId="77777777" w:rsidR="001D02C4" w:rsidRPr="001D02C4" w:rsidRDefault="001D02C4" w:rsidP="001D02C4">
      <w:pPr>
        <w:pStyle w:val="NoSpacing"/>
        <w:spacing w:line="276" w:lineRule="auto"/>
        <w:ind w:left="450"/>
        <w:jc w:val="both"/>
        <w:rPr>
          <w:i/>
        </w:rPr>
      </w:pPr>
    </w:p>
    <w:p w14:paraId="08F98F79" w14:textId="7DD9ACE6" w:rsidR="001D02C4" w:rsidRPr="001D02C4" w:rsidRDefault="001D02C4" w:rsidP="001D02C4">
      <w:pPr>
        <w:pStyle w:val="NoSpacing"/>
        <w:spacing w:line="276" w:lineRule="auto"/>
        <w:ind w:left="450"/>
        <w:jc w:val="both"/>
        <w:rPr>
          <w:iCs/>
        </w:rPr>
      </w:pPr>
      <w:r w:rsidRPr="001D02C4">
        <w:rPr>
          <w:b/>
          <w:bCs/>
          <w:highlight w:val="darkGray"/>
        </w:rPr>
        <w:t>[ADO]</w:t>
      </w:r>
      <w:r w:rsidRPr="001D02C4">
        <w:rPr>
          <w:iCs/>
        </w:rPr>
        <w:t xml:space="preserve"> shall, as a matter of principle, conduct further analysis for substances and methods that were prohibited at the time of the sample collection, considering: </w:t>
      </w:r>
    </w:p>
    <w:p w14:paraId="04E616D4" w14:textId="471330F8" w:rsidR="001D02C4" w:rsidRPr="001D02C4" w:rsidRDefault="001D02C4" w:rsidP="00D508DB">
      <w:pPr>
        <w:pStyle w:val="NoSpacing"/>
        <w:numPr>
          <w:ilvl w:val="0"/>
          <w:numId w:val="15"/>
        </w:numPr>
        <w:spacing w:before="120" w:line="276" w:lineRule="auto"/>
        <w:ind w:left="1166"/>
        <w:jc w:val="both"/>
        <w:rPr>
          <w:rFonts w:eastAsia="Times New Roman"/>
          <w:szCs w:val="20"/>
        </w:rPr>
      </w:pPr>
      <w:r w:rsidRPr="001D02C4">
        <w:rPr>
          <w:rFonts w:eastAsia="Times New Roman"/>
          <w:szCs w:val="20"/>
          <w:lang w:val="en-CA"/>
        </w:rPr>
        <w:t xml:space="preserve">Any analysis </w:t>
      </w:r>
      <w:r w:rsidRPr="001D02C4">
        <w:rPr>
          <w:rFonts w:eastAsia="Times New Roman"/>
          <w:szCs w:val="20"/>
        </w:rPr>
        <w:t xml:space="preserve">for specific prohibited substance(s) or method(s) not analyzed in the initial analysis, where such </w:t>
      </w:r>
      <w:r w:rsidRPr="001D02C4">
        <w:rPr>
          <w:rFonts w:eastAsia="Times New Roman"/>
          <w:szCs w:val="20"/>
          <w:lang w:val="en-CA"/>
        </w:rPr>
        <w:t xml:space="preserve">substance or method is at high risk for </w:t>
      </w:r>
      <w:r w:rsidRPr="001D02C4">
        <w:rPr>
          <w:b/>
          <w:bCs/>
          <w:highlight w:val="darkGray"/>
        </w:rPr>
        <w:t>[ADO</w:t>
      </w:r>
      <w:proofErr w:type="gramStart"/>
      <w:r w:rsidRPr="001D02C4">
        <w:rPr>
          <w:b/>
          <w:bCs/>
          <w:highlight w:val="darkGray"/>
        </w:rPr>
        <w:t>]</w:t>
      </w:r>
      <w:r w:rsidR="003D40BB">
        <w:rPr>
          <w:rFonts w:eastAsia="Times New Roman"/>
          <w:szCs w:val="20"/>
          <w:lang w:val="en-CA"/>
        </w:rPr>
        <w:t>;</w:t>
      </w:r>
      <w:proofErr w:type="gramEnd"/>
    </w:p>
    <w:p w14:paraId="0A066AA8" w14:textId="44244DB1" w:rsidR="001D02C4" w:rsidRPr="001D02C4" w:rsidRDefault="001D02C4" w:rsidP="00D508DB">
      <w:pPr>
        <w:pStyle w:val="NoSpacing"/>
        <w:numPr>
          <w:ilvl w:val="0"/>
          <w:numId w:val="15"/>
        </w:numPr>
        <w:spacing w:before="120" w:line="276" w:lineRule="auto"/>
        <w:ind w:left="1166"/>
        <w:jc w:val="both"/>
        <w:rPr>
          <w:rFonts w:eastAsia="Times New Roman"/>
          <w:szCs w:val="20"/>
        </w:rPr>
      </w:pPr>
      <w:r w:rsidRPr="001D02C4">
        <w:rPr>
          <w:rFonts w:eastAsia="Times New Roman"/>
          <w:szCs w:val="20"/>
          <w:lang w:val="en-CA"/>
        </w:rPr>
        <w:t xml:space="preserve">Analysis for any new </w:t>
      </w:r>
      <w:r w:rsidRPr="001D02C4">
        <w:rPr>
          <w:rFonts w:eastAsia="Times New Roman"/>
          <w:szCs w:val="20"/>
        </w:rPr>
        <w:t>detection</w:t>
      </w:r>
      <w:r w:rsidRPr="001D02C4">
        <w:rPr>
          <w:rFonts w:eastAsia="Times New Roman"/>
          <w:szCs w:val="20"/>
          <w:lang w:val="en-CA"/>
        </w:rPr>
        <w:t xml:space="preserve"> or updated methods for a particular substance or method</w:t>
      </w:r>
      <w:r w:rsidR="003D40BB">
        <w:rPr>
          <w:rFonts w:eastAsia="Times New Roman"/>
          <w:szCs w:val="20"/>
          <w:lang w:val="en-CA"/>
        </w:rPr>
        <w:t>; and</w:t>
      </w:r>
    </w:p>
    <w:p w14:paraId="333665E1" w14:textId="77777777" w:rsidR="001D02C4" w:rsidRPr="001D02C4" w:rsidRDefault="001D02C4" w:rsidP="00D508DB">
      <w:pPr>
        <w:pStyle w:val="NoSpacing"/>
        <w:numPr>
          <w:ilvl w:val="0"/>
          <w:numId w:val="15"/>
        </w:numPr>
        <w:spacing w:before="120" w:line="276" w:lineRule="auto"/>
        <w:ind w:left="1166"/>
        <w:jc w:val="both"/>
        <w:rPr>
          <w:rFonts w:eastAsia="Times New Roman"/>
          <w:szCs w:val="20"/>
        </w:rPr>
      </w:pPr>
      <w:r w:rsidRPr="001D02C4">
        <w:rPr>
          <w:rFonts w:eastAsia="Times New Roman"/>
          <w:szCs w:val="20"/>
        </w:rPr>
        <w:t xml:space="preserve">Retroactive analysis in connection with the ABP program. </w:t>
      </w:r>
    </w:p>
    <w:p w14:paraId="48EF4114" w14:textId="77777777" w:rsidR="001D02C4" w:rsidRPr="001D02C4" w:rsidRDefault="001D02C4" w:rsidP="001D02C4">
      <w:pPr>
        <w:pStyle w:val="NoSpacing"/>
        <w:spacing w:line="276" w:lineRule="auto"/>
        <w:ind w:left="450"/>
        <w:jc w:val="both"/>
      </w:pPr>
    </w:p>
    <w:p w14:paraId="1DA07C07" w14:textId="3FC55611" w:rsidR="001D02C4" w:rsidRPr="001D02C4" w:rsidRDefault="001D02C4" w:rsidP="001D02C4">
      <w:pPr>
        <w:pStyle w:val="NoSpacing"/>
        <w:spacing w:line="276" w:lineRule="auto"/>
        <w:ind w:left="450"/>
        <w:jc w:val="both"/>
      </w:pPr>
      <w:r w:rsidRPr="001D02C4">
        <w:t xml:space="preserve">In determining substance(s) or method(s) to be analyzed, </w:t>
      </w:r>
      <w:r w:rsidRPr="001D02C4">
        <w:rPr>
          <w:b/>
          <w:bCs/>
          <w:highlight w:val="darkGray"/>
        </w:rPr>
        <w:t>[ADO]</w:t>
      </w:r>
      <w:r w:rsidRPr="001D02C4">
        <w:t xml:space="preserve"> shall also decide which WADA-accredited laboratory will conduct the further analysis (e.g.</w:t>
      </w:r>
      <w:r w:rsidR="003D40BB">
        <w:t>,</w:t>
      </w:r>
      <w:r w:rsidRPr="001D02C4">
        <w:t xml:space="preserve"> if not all the laboratories have a new method available at the same time).</w:t>
      </w:r>
    </w:p>
    <w:p w14:paraId="30C2D144" w14:textId="77777777" w:rsidR="001D02C4" w:rsidRPr="001D02C4" w:rsidRDefault="001D02C4" w:rsidP="001D02C4">
      <w:pPr>
        <w:pStyle w:val="NoSpacing"/>
        <w:spacing w:line="276" w:lineRule="auto"/>
        <w:ind w:left="450"/>
        <w:jc w:val="both"/>
      </w:pPr>
    </w:p>
    <w:p w14:paraId="3CE2E470" w14:textId="77777777" w:rsidR="001D02C4" w:rsidRPr="001D02C4" w:rsidRDefault="001D02C4" w:rsidP="00D508DB">
      <w:pPr>
        <w:pStyle w:val="ListParagraph"/>
        <w:numPr>
          <w:ilvl w:val="0"/>
          <w:numId w:val="14"/>
        </w:numPr>
        <w:spacing w:line="276" w:lineRule="auto"/>
        <w:jc w:val="both"/>
        <w:rPr>
          <w:rFonts w:ascii="Arial Black" w:hAnsi="Arial Black"/>
          <w:iCs/>
        </w:rPr>
      </w:pPr>
      <w:r w:rsidRPr="001D02C4">
        <w:rPr>
          <w:rFonts w:ascii="Arial Black" w:hAnsi="Arial Black"/>
          <w:iCs/>
        </w:rPr>
        <w:t>Outcomes of further analysis</w:t>
      </w:r>
    </w:p>
    <w:p w14:paraId="67626225" w14:textId="77777777" w:rsidR="001D02C4" w:rsidRPr="001D02C4" w:rsidRDefault="001D02C4" w:rsidP="001D02C4">
      <w:pPr>
        <w:pStyle w:val="NoSpacing"/>
        <w:spacing w:line="276" w:lineRule="auto"/>
        <w:ind w:left="450"/>
        <w:jc w:val="both"/>
        <w:rPr>
          <w:i/>
        </w:rPr>
      </w:pPr>
    </w:p>
    <w:p w14:paraId="445C0DE4" w14:textId="34EB4EE3" w:rsidR="001D02C4" w:rsidRPr="001D02C4" w:rsidRDefault="001D02C4" w:rsidP="001D02C4">
      <w:pPr>
        <w:pStyle w:val="NoSpacing"/>
        <w:spacing w:line="276" w:lineRule="auto"/>
        <w:ind w:left="450"/>
        <w:jc w:val="both"/>
        <w:rPr>
          <w:iCs/>
        </w:rPr>
      </w:pPr>
      <w:r w:rsidRPr="001D02C4">
        <w:rPr>
          <w:iCs/>
        </w:rPr>
        <w:t xml:space="preserve">Based on the results/outcomes of any further analysis, </w:t>
      </w:r>
      <w:r w:rsidRPr="001D02C4">
        <w:rPr>
          <w:b/>
          <w:bCs/>
          <w:highlight w:val="darkGray"/>
        </w:rPr>
        <w:t>[ADO]</w:t>
      </w:r>
      <w:r w:rsidRPr="001D02C4">
        <w:rPr>
          <w:iCs/>
        </w:rPr>
        <w:t xml:space="preserve"> may conduct a new review based on the above selection criteria for sample retention, and decide to re-seal and store that sample again (subject to the state of the sample, including but not limited to the volume being sufficient) for further analysis within the 10-year statute of limitations. A particular consideration will be given to any potential need for reference DNA analysis.</w:t>
      </w:r>
    </w:p>
    <w:p w14:paraId="58385A13" w14:textId="340CAB62" w:rsidR="001D02C4" w:rsidRDefault="001D02C4" w:rsidP="00D150D4">
      <w:pPr>
        <w:spacing w:line="276" w:lineRule="auto"/>
        <w:ind w:left="450"/>
        <w:jc w:val="both"/>
        <w:rPr>
          <w:rFonts w:eastAsia="Calibri" w:cs="Arial"/>
          <w:b/>
          <w:noProof/>
          <w:color w:val="0071BC"/>
          <w:sz w:val="24"/>
          <w:szCs w:val="24"/>
        </w:rPr>
      </w:pPr>
    </w:p>
    <w:p w14:paraId="272C28A0" w14:textId="77777777" w:rsidR="003D40BB" w:rsidRDefault="003D40BB" w:rsidP="00D150D4">
      <w:pPr>
        <w:spacing w:line="276" w:lineRule="auto"/>
        <w:ind w:left="450"/>
        <w:jc w:val="both"/>
        <w:rPr>
          <w:rFonts w:eastAsia="Calibri" w:cs="Arial"/>
          <w:b/>
          <w:noProof/>
          <w:color w:val="0071BC"/>
          <w:sz w:val="24"/>
          <w:szCs w:val="24"/>
        </w:rPr>
      </w:pPr>
    </w:p>
    <w:p w14:paraId="1E0D12F6" w14:textId="77777777" w:rsidR="003D40BB" w:rsidRDefault="003D40BB" w:rsidP="00D150D4">
      <w:pPr>
        <w:spacing w:line="276" w:lineRule="auto"/>
        <w:ind w:left="450"/>
        <w:jc w:val="both"/>
        <w:rPr>
          <w:rFonts w:eastAsia="Calibri" w:cs="Arial"/>
          <w:b/>
          <w:noProof/>
          <w:color w:val="0071BC"/>
          <w:sz w:val="24"/>
          <w:szCs w:val="24"/>
        </w:rPr>
      </w:pPr>
    </w:p>
    <w:p w14:paraId="6517A298" w14:textId="641F40FD" w:rsidR="001D02C4" w:rsidRDefault="001D02C4" w:rsidP="00D150D4">
      <w:pPr>
        <w:spacing w:line="276" w:lineRule="auto"/>
        <w:ind w:left="450"/>
        <w:jc w:val="both"/>
        <w:rPr>
          <w:rFonts w:eastAsia="Calibri" w:cs="Arial"/>
          <w:b/>
          <w:noProof/>
          <w:color w:val="0071BC"/>
          <w:sz w:val="24"/>
          <w:szCs w:val="24"/>
        </w:rPr>
      </w:pPr>
      <w:r>
        <w:rPr>
          <w:rFonts w:eastAsia="Calibri" w:cs="Arial"/>
          <w:b/>
          <w:noProof/>
          <w:color w:val="0071BC"/>
          <w:sz w:val="24"/>
          <w:szCs w:val="24"/>
        </w:rPr>
        <w:lastRenderedPageBreak/>
        <w:t>Policy Review</w:t>
      </w:r>
    </w:p>
    <w:p w14:paraId="0E4033B5" w14:textId="01CBD9F0" w:rsidR="001D02C4" w:rsidRPr="001D02C4" w:rsidRDefault="001D02C4" w:rsidP="001D02C4">
      <w:pPr>
        <w:pStyle w:val="NoSpacing"/>
        <w:spacing w:line="276" w:lineRule="auto"/>
        <w:ind w:left="450"/>
        <w:jc w:val="both"/>
        <w:rPr>
          <w:iCs/>
        </w:rPr>
      </w:pPr>
      <w:r w:rsidRPr="001D02C4">
        <w:t xml:space="preserve">This policy as a whole shall be reviewed annually and adjusted as necessary depending on various factors including, but not limited to, re-evaluation of the doping risks in </w:t>
      </w:r>
      <w:r w:rsidRPr="001D02C4">
        <w:rPr>
          <w:b/>
          <w:bCs/>
          <w:highlight w:val="darkGray"/>
        </w:rPr>
        <w:t>[</w:t>
      </w:r>
      <w:r w:rsidRPr="001D02C4">
        <w:rPr>
          <w:b/>
          <w:bCs/>
          <w:i/>
          <w:iCs/>
          <w:highlight w:val="darkGray"/>
        </w:rPr>
        <w:t>for IFs: [IF]sport] [for NADOs: the sports/disciplines in the scope of [NADO</w:t>
      </w:r>
      <w:r w:rsidRPr="001D02C4">
        <w:rPr>
          <w:b/>
          <w:bCs/>
          <w:highlight w:val="darkGray"/>
        </w:rPr>
        <w:t>]]</w:t>
      </w:r>
      <w:r w:rsidRPr="001D02C4">
        <w:t xml:space="preserve">, intelligence received, new methods of detection, laboratories / APMU recommendations, </w:t>
      </w:r>
      <w:r w:rsidRPr="001D02C4">
        <w:rPr>
          <w:b/>
          <w:bCs/>
          <w:highlight w:val="darkGray"/>
        </w:rPr>
        <w:t>[ADO]</w:t>
      </w:r>
      <w:r w:rsidRPr="001D02C4">
        <w:t>’s budget</w:t>
      </w:r>
      <w:r w:rsidR="003D40BB">
        <w:t>, and any other relevant information</w:t>
      </w:r>
      <w:r w:rsidRPr="001D02C4">
        <w:t xml:space="preserve"> </w:t>
      </w:r>
      <w:r w:rsidRPr="001D02C4">
        <w:rPr>
          <w:b/>
          <w:bCs/>
          <w:highlight w:val="darkGray"/>
        </w:rPr>
        <w:t>[</w:t>
      </w:r>
      <w:r w:rsidRPr="001D02C4">
        <w:rPr>
          <w:b/>
          <w:bCs/>
          <w:i/>
          <w:iCs/>
          <w:highlight w:val="darkGray"/>
        </w:rPr>
        <w:t>Insert any other relevant criteria</w:t>
      </w:r>
      <w:r w:rsidRPr="001D02C4">
        <w:rPr>
          <w:b/>
          <w:bCs/>
          <w:highlight w:val="darkGray"/>
        </w:rPr>
        <w:t>]</w:t>
      </w:r>
      <w:r w:rsidRPr="001D02C4">
        <w:t>.</w:t>
      </w:r>
    </w:p>
    <w:sectPr w:rsidR="001D02C4" w:rsidRPr="001D02C4" w:rsidSect="00D27F7C">
      <w:headerReference w:type="default" r:id="rId8"/>
      <w:footerReference w:type="default" r:id="rId9"/>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EE65" w14:textId="77777777" w:rsidR="005400EC" w:rsidRDefault="005400EC" w:rsidP="00EE1508">
      <w:pPr>
        <w:spacing w:after="0" w:line="240" w:lineRule="auto"/>
      </w:pPr>
      <w:r>
        <w:separator/>
      </w:r>
    </w:p>
  </w:endnote>
  <w:endnote w:type="continuationSeparator" w:id="0">
    <w:p w14:paraId="64D4896B" w14:textId="77777777" w:rsidR="005400EC" w:rsidRDefault="005400EC"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Text Box 2" o:spid="_x0000_s1027"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2FFCC1E7" w:rsidR="00777A00" w:rsidRPr="00D05E9D" w:rsidRDefault="00D05E9D" w:rsidP="006146D9">
    <w:pPr>
      <w:pStyle w:val="Footer"/>
      <w:ind w:left="-1620"/>
      <w:rPr>
        <w:i/>
        <w:iCs/>
      </w:rPr>
    </w:pPr>
    <w:r>
      <w:tab/>
    </w:r>
    <w:r>
      <w:tab/>
    </w:r>
    <w:r w:rsidRPr="00D05E9D">
      <w:rPr>
        <w:i/>
        <w:iCs/>
      </w:rPr>
      <w:t>(April 2021)</w:t>
    </w:r>
    <w:r w:rsidRPr="00D05E9D">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53421" w14:textId="77777777" w:rsidR="005400EC" w:rsidRDefault="005400EC" w:rsidP="00EE1508">
      <w:pPr>
        <w:spacing w:after="0" w:line="240" w:lineRule="auto"/>
      </w:pPr>
      <w:r>
        <w:separator/>
      </w:r>
    </w:p>
  </w:footnote>
  <w:footnote w:type="continuationSeparator" w:id="0">
    <w:p w14:paraId="026DB3DE" w14:textId="77777777" w:rsidR="005400EC" w:rsidRDefault="005400EC"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6"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26985"/>
    <w:multiLevelType w:val="hybridMultilevel"/>
    <w:tmpl w:val="D5CA3C94"/>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22D3"/>
    <w:multiLevelType w:val="hybridMultilevel"/>
    <w:tmpl w:val="56C8B61E"/>
    <w:lvl w:ilvl="0" w:tplc="3F425000">
      <w:start w:val="1"/>
      <w:numFmt w:val="decimal"/>
      <w:lvlText w:val="%1."/>
      <w:lvlJc w:val="left"/>
      <w:pPr>
        <w:ind w:left="1170" w:hanging="360"/>
      </w:pPr>
      <w:rPr>
        <w:rFonts w:hint="default"/>
        <w:b w:val="0"/>
        <w:i w:val="0"/>
        <w:color w:val="474747" w:themeColor="text1" w:themeShade="BF"/>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3A1210D"/>
    <w:multiLevelType w:val="hybridMultilevel"/>
    <w:tmpl w:val="31B66FAA"/>
    <w:lvl w:ilvl="0" w:tplc="B95EC45C">
      <w:start w:val="1"/>
      <w:numFmt w:val="bullet"/>
      <w:lvlText w:val=""/>
      <w:lvlJc w:val="left"/>
      <w:pPr>
        <w:ind w:left="1170" w:hanging="360"/>
      </w:pPr>
      <w:rPr>
        <w:rFonts w:ascii="Wingdings" w:hAnsi="Wingdings" w:hint="default"/>
        <w:color w:val="0071BC"/>
        <w:sz w:val="18"/>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0" w15:restartNumberingAfterBreak="0">
    <w:nsid w:val="67463710"/>
    <w:multiLevelType w:val="hybridMultilevel"/>
    <w:tmpl w:val="56C8B61E"/>
    <w:lvl w:ilvl="0" w:tplc="3F425000">
      <w:start w:val="1"/>
      <w:numFmt w:val="decimal"/>
      <w:lvlText w:val="%1."/>
      <w:lvlJc w:val="left"/>
      <w:pPr>
        <w:ind w:left="1170" w:hanging="360"/>
      </w:pPr>
      <w:rPr>
        <w:rFonts w:hint="default"/>
        <w:b w:val="0"/>
        <w:i w:val="0"/>
        <w:color w:val="474747" w:themeColor="text1" w:themeShade="BF"/>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1993F68"/>
    <w:multiLevelType w:val="hybridMultilevel"/>
    <w:tmpl w:val="4F5AAA2A"/>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A6C46"/>
    <w:multiLevelType w:val="hybridMultilevel"/>
    <w:tmpl w:val="00423E94"/>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7E002ACB"/>
    <w:multiLevelType w:val="hybridMultilevel"/>
    <w:tmpl w:val="D23289E8"/>
    <w:lvl w:ilvl="0" w:tplc="F4981F6C">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5"/>
  </w:num>
  <w:num w:numId="4">
    <w:abstractNumId w:val="3"/>
  </w:num>
  <w:num w:numId="5">
    <w:abstractNumId w:val="4"/>
  </w:num>
  <w:num w:numId="6">
    <w:abstractNumId w:val="6"/>
  </w:num>
  <w:num w:numId="7">
    <w:abstractNumId w:val="1"/>
  </w:num>
  <w:num w:numId="8">
    <w:abstractNumId w:val="2"/>
  </w:num>
  <w:num w:numId="9">
    <w:abstractNumId w:val="14"/>
  </w:num>
  <w:num w:numId="10">
    <w:abstractNumId w:val="10"/>
  </w:num>
  <w:num w:numId="11">
    <w:abstractNumId w:val="13"/>
  </w:num>
  <w:num w:numId="12">
    <w:abstractNumId w:val="0"/>
  </w:num>
  <w:num w:numId="13">
    <w:abstractNumId w:val="11"/>
  </w:num>
  <w:num w:numId="14">
    <w:abstractNumId w:val="7"/>
  </w:num>
  <w:num w:numId="15">
    <w:abstractNumId w:val="8"/>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65763"/>
    <w:rsid w:val="00087B4F"/>
    <w:rsid w:val="000B5032"/>
    <w:rsid w:val="000F1691"/>
    <w:rsid w:val="00125A21"/>
    <w:rsid w:val="001304A1"/>
    <w:rsid w:val="00131CAC"/>
    <w:rsid w:val="0016115D"/>
    <w:rsid w:val="00173853"/>
    <w:rsid w:val="00194C42"/>
    <w:rsid w:val="001B0086"/>
    <w:rsid w:val="001D02C4"/>
    <w:rsid w:val="001D53F1"/>
    <w:rsid w:val="00212BF5"/>
    <w:rsid w:val="00232016"/>
    <w:rsid w:val="00233A1C"/>
    <w:rsid w:val="0023693D"/>
    <w:rsid w:val="00260049"/>
    <w:rsid w:val="002A2359"/>
    <w:rsid w:val="002A564A"/>
    <w:rsid w:val="002A5875"/>
    <w:rsid w:val="002F21E1"/>
    <w:rsid w:val="00340017"/>
    <w:rsid w:val="00383E5E"/>
    <w:rsid w:val="00394D83"/>
    <w:rsid w:val="003D40BB"/>
    <w:rsid w:val="003D43AA"/>
    <w:rsid w:val="00401F91"/>
    <w:rsid w:val="00454445"/>
    <w:rsid w:val="004B1DE7"/>
    <w:rsid w:val="004B4E13"/>
    <w:rsid w:val="00521D44"/>
    <w:rsid w:val="00531755"/>
    <w:rsid w:val="005400EC"/>
    <w:rsid w:val="005523FE"/>
    <w:rsid w:val="005601E2"/>
    <w:rsid w:val="005C3F5D"/>
    <w:rsid w:val="005C3FD0"/>
    <w:rsid w:val="005D51D7"/>
    <w:rsid w:val="005F2161"/>
    <w:rsid w:val="006146D9"/>
    <w:rsid w:val="00696F14"/>
    <w:rsid w:val="006B2897"/>
    <w:rsid w:val="006F2D06"/>
    <w:rsid w:val="00705922"/>
    <w:rsid w:val="00777A00"/>
    <w:rsid w:val="007F4FEF"/>
    <w:rsid w:val="007F6B04"/>
    <w:rsid w:val="008114AD"/>
    <w:rsid w:val="008177AD"/>
    <w:rsid w:val="00832884"/>
    <w:rsid w:val="00865045"/>
    <w:rsid w:val="008968C7"/>
    <w:rsid w:val="008C356B"/>
    <w:rsid w:val="008D0BFE"/>
    <w:rsid w:val="00966590"/>
    <w:rsid w:val="00993424"/>
    <w:rsid w:val="009A4001"/>
    <w:rsid w:val="009F6DBC"/>
    <w:rsid w:val="00A053FD"/>
    <w:rsid w:val="00A16099"/>
    <w:rsid w:val="00A30CFE"/>
    <w:rsid w:val="00A404A3"/>
    <w:rsid w:val="00A569B5"/>
    <w:rsid w:val="00AA3645"/>
    <w:rsid w:val="00B12EE8"/>
    <w:rsid w:val="00B43623"/>
    <w:rsid w:val="00B456DE"/>
    <w:rsid w:val="00B51CB9"/>
    <w:rsid w:val="00B60464"/>
    <w:rsid w:val="00B66A8F"/>
    <w:rsid w:val="00B94589"/>
    <w:rsid w:val="00BF4957"/>
    <w:rsid w:val="00C000F1"/>
    <w:rsid w:val="00C35EA8"/>
    <w:rsid w:val="00C56F9B"/>
    <w:rsid w:val="00C63EE4"/>
    <w:rsid w:val="00C705D6"/>
    <w:rsid w:val="00CC041B"/>
    <w:rsid w:val="00CC0DDE"/>
    <w:rsid w:val="00CE3175"/>
    <w:rsid w:val="00D05E9D"/>
    <w:rsid w:val="00D150D4"/>
    <w:rsid w:val="00D27F7C"/>
    <w:rsid w:val="00D508DB"/>
    <w:rsid w:val="00D663BB"/>
    <w:rsid w:val="00D82B5E"/>
    <w:rsid w:val="00DF4D0A"/>
    <w:rsid w:val="00E2698B"/>
    <w:rsid w:val="00E3128A"/>
    <w:rsid w:val="00E315FB"/>
    <w:rsid w:val="00E3325F"/>
    <w:rsid w:val="00E5169F"/>
    <w:rsid w:val="00E61510"/>
    <w:rsid w:val="00E87E2D"/>
    <w:rsid w:val="00E91F8D"/>
    <w:rsid w:val="00EE1508"/>
    <w:rsid w:val="00EF1C83"/>
    <w:rsid w:val="00F11CC8"/>
    <w:rsid w:val="00F15807"/>
    <w:rsid w:val="00F1770A"/>
    <w:rsid w:val="00F570AD"/>
    <w:rsid w:val="00F861A0"/>
    <w:rsid w:val="00F960CB"/>
    <w:rsid w:val="00FA13EF"/>
    <w:rsid w:val="00FB2ED7"/>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4B00-D9D6-4E64-AC99-E2FB1642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Template_stakeholders_B&amp;W_v2.dotx</Template>
  <TotalTime>16</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Karine</cp:lastModifiedBy>
  <cp:revision>4</cp:revision>
  <dcterms:created xsi:type="dcterms:W3CDTF">2021-01-13T21:40:00Z</dcterms:created>
  <dcterms:modified xsi:type="dcterms:W3CDTF">2021-04-13T22:21:00Z</dcterms:modified>
</cp:coreProperties>
</file>